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b/>
          <w:bCs/>
          <w:sz w:val="44"/>
          <w:szCs w:val="44"/>
        </w:rPr>
        <w:id w:val="147453308"/>
        <w:docPartObj>
          <w:docPartGallery w:val="Table of Contents"/>
          <w:docPartUnique/>
        </w:docPartObj>
      </w:sdtPr>
      <w:sdtEndPr>
        <w:rPr>
          <w:rFonts w:hint="eastAsia" w:ascii="仿宋_GB2312" w:hAnsi="仿宋_GB2312" w:eastAsia="仿宋_GB2312" w:cs="仿宋_GB2312"/>
          <w:b/>
          <w:bCs/>
          <w:sz w:val="32"/>
          <w:szCs w:val="32"/>
        </w:rPr>
      </w:sdtEndPr>
      <w:sdtContent>
        <w:p>
          <w:pPr>
            <w:widowControl/>
            <w:spacing w:before="312" w:beforeLines="100" w:after="312" w:afterLines="100" w:line="500" w:lineRule="exact"/>
            <w:jc w:val="center"/>
            <w:rPr>
              <w:rFonts w:ascii="黑体" w:hAnsi="黑体" w:eastAsia="黑体" w:cs="黑体"/>
              <w:b/>
              <w:bCs/>
              <w:sz w:val="44"/>
              <w:szCs w:val="44"/>
            </w:rPr>
          </w:pPr>
        </w:p>
        <w:p>
          <w:pPr>
            <w:rPr>
              <w:rFonts w:ascii="方正小标宋简体" w:hAnsi="方正小标宋简体" w:eastAsia="方正小标宋简体" w:cs="方正小标宋简体"/>
              <w:b/>
              <w:bCs/>
              <w:sz w:val="52"/>
              <w:szCs w:val="52"/>
            </w:rPr>
          </w:pPr>
        </w:p>
        <w:p>
          <w:pPr>
            <w:widowControl/>
            <w:jc w:val="center"/>
            <w:rPr>
              <w:rFonts w:ascii="方正小标宋简体" w:hAnsi="方正小标宋简体" w:eastAsia="方正小标宋简体" w:cs="方正小标宋简体"/>
              <w:b/>
              <w:bCs/>
              <w:sz w:val="48"/>
              <w:szCs w:val="48"/>
            </w:rPr>
          </w:pPr>
          <w:r>
            <w:rPr>
              <w:rFonts w:hint="eastAsia" w:ascii="黑体" w:hAnsi="黑体" w:eastAsia="黑体" w:cs="黑体"/>
              <w:b/>
              <w:bCs/>
              <w:sz w:val="44"/>
              <w:szCs w:val="44"/>
            </w:rPr>
            <w:drawing>
              <wp:inline distT="0" distB="0" distL="114300" distR="114300">
                <wp:extent cx="2779395" cy="2662555"/>
                <wp:effectExtent l="0" t="0" r="1905" b="4445"/>
                <wp:docPr id="5" name="图片 5" descr="校徽标志(无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徽标志(无框)"/>
                        <pic:cNvPicPr>
                          <a:picLocks noChangeAspect="1"/>
                        </pic:cNvPicPr>
                      </pic:nvPicPr>
                      <pic:blipFill>
                        <a:blip r:embed="rId6" cstate="print"/>
                        <a:stretch>
                          <a:fillRect/>
                        </a:stretch>
                      </pic:blipFill>
                      <pic:spPr>
                        <a:xfrm>
                          <a:off x="0" y="0"/>
                          <a:ext cx="2779395" cy="2662555"/>
                        </a:xfrm>
                        <a:prstGeom prst="rect">
                          <a:avLst/>
                        </a:prstGeom>
                      </pic:spPr>
                    </pic:pic>
                  </a:graphicData>
                </a:graphic>
              </wp:inline>
            </w:drawing>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spacing w:after="156" w:afterLines="50"/>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江西省轻工业高级技工学校</w:t>
          </w:r>
        </w:p>
        <w:p>
          <w:pPr>
            <w:spacing w:before="156" w:beforeLines="5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48"/>
              <w:szCs w:val="48"/>
            </w:rPr>
            <w:t>2019年</w:t>
          </w:r>
          <w:r>
            <w:rPr>
              <w:rFonts w:hint="eastAsia" w:ascii="方正小标宋简体" w:hAnsi="方正小标宋简体" w:eastAsia="方正小标宋简体" w:cs="方正小标宋简体"/>
              <w:b/>
              <w:bCs/>
              <w:sz w:val="52"/>
              <w:szCs w:val="52"/>
            </w:rPr>
            <w:t>中等职业教育质量年度报告</w:t>
          </w:r>
        </w:p>
        <w:p>
          <w:pPr>
            <w:widowControl/>
            <w:spacing w:before="312" w:beforeLines="100" w:after="312" w:afterLines="100" w:line="500" w:lineRule="exact"/>
            <w:jc w:val="center"/>
            <w:rPr>
              <w:rFonts w:hint="eastAsia" w:ascii="方正小标宋简体" w:hAnsi="方正小标宋简体" w:eastAsia="方正小标宋简体" w:cs="方正小标宋简体"/>
              <w:b/>
              <w:bCs/>
              <w:sz w:val="36"/>
              <w:szCs w:val="36"/>
            </w:rPr>
          </w:pPr>
        </w:p>
        <w:p>
          <w:pPr>
            <w:widowControl/>
            <w:spacing w:before="312" w:beforeLines="100" w:after="312" w:afterLines="100" w:line="500" w:lineRule="exact"/>
            <w:jc w:val="center"/>
            <w:rPr>
              <w:rFonts w:ascii="方正小标宋简体" w:hAnsi="方正小标宋简体" w:eastAsia="方正小标宋简体" w:cs="方正小标宋简体"/>
              <w:b/>
              <w:bCs/>
              <w:sz w:val="36"/>
              <w:szCs w:val="36"/>
            </w:rPr>
          </w:pPr>
        </w:p>
        <w:p>
          <w:pPr>
            <w:widowControl/>
            <w:spacing w:before="312" w:beforeLines="100" w:after="312" w:afterLines="100" w:line="500" w:lineRule="exact"/>
            <w:jc w:val="center"/>
            <w:rPr>
              <w:rFonts w:ascii="黑体" w:hAnsi="黑体" w:eastAsia="黑体" w:cs="黑体"/>
              <w:b/>
              <w:bCs/>
              <w:sz w:val="44"/>
              <w:szCs w:val="44"/>
            </w:rPr>
          </w:pPr>
          <w:r>
            <w:rPr>
              <w:rFonts w:hint="eastAsia" w:ascii="方正小标宋简体" w:hAnsi="方正小标宋简体" w:eastAsia="方正小标宋简体" w:cs="方正小标宋简体"/>
              <w:b/>
              <w:bCs/>
              <w:sz w:val="36"/>
              <w:szCs w:val="36"/>
            </w:rPr>
            <w:t>二〇二〇年一月</w:t>
          </w:r>
        </w:p>
        <w:p>
          <w:pPr>
            <w:widowControl/>
            <w:rPr>
              <w:rFonts w:ascii="仿宋_GB2312" w:hAnsi="仿宋_GB2312" w:eastAsia="仿宋_GB2312" w:cs="仿宋_GB2312"/>
              <w:b/>
              <w:bCs/>
              <w:sz w:val="32"/>
              <w:szCs w:val="32"/>
            </w:rPr>
          </w:pPr>
        </w:p>
        <w:p>
          <w:pPr>
            <w:widowControl/>
          </w:pPr>
        </w:p>
      </w:sdtContent>
    </w:sdt>
    <w:sdt>
      <w:sdtPr>
        <w:rPr>
          <w:rFonts w:hint="eastAsia" w:ascii="方正小标宋简体" w:hAnsi="方正小标宋简体" w:eastAsia="方正小标宋简体" w:cs="方正小标宋简体"/>
          <w:sz w:val="48"/>
          <w:szCs w:val="48"/>
        </w:rPr>
        <w:id w:val="147473161"/>
        <w15:color w:val="DBDBDB"/>
        <w:docPartObj>
          <w:docPartGallery w:val="Table of Contents"/>
          <w:docPartUnique/>
        </w:docPartObj>
      </w:sdtPr>
      <w:sdtEndPr>
        <w:rPr>
          <w:rFonts w:hint="eastAsia" w:ascii="仿宋_GB2312" w:hAnsi="仿宋_GB2312" w:eastAsia="仿宋_GB2312" w:cs="仿宋_GB2312"/>
          <w:b/>
          <w:bCs/>
          <w:sz w:val="21"/>
          <w:szCs w:val="32"/>
        </w:rPr>
      </w:sdtEndPr>
      <w:sdtContent>
        <w:p>
          <w:pPr>
            <w:jc w:val="center"/>
            <w:rPr>
              <w:rFonts w:ascii="方正小标宋简体" w:hAnsi="方正小标宋简体" w:eastAsia="方正小标宋简体" w:cs="方正小标宋简体"/>
              <w:sz w:val="48"/>
              <w:szCs w:val="48"/>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目录</w:t>
          </w:r>
        </w:p>
        <w:p>
          <w:pPr>
            <w:pStyle w:val="9"/>
            <w:tabs>
              <w:tab w:val="right" w:leader="dot" w:pos="8306"/>
            </w:tabs>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TOC \o "1-2" \h \u </w:instrText>
          </w:r>
          <w:r>
            <w:rPr>
              <w:rFonts w:ascii="仿宋_GB2312" w:hAnsi="仿宋_GB2312" w:eastAsia="仿宋_GB2312" w:cs="仿宋_GB2312"/>
              <w:sz w:val="32"/>
              <w:szCs w:val="32"/>
            </w:rPr>
            <w:fldChar w:fldCharType="separate"/>
          </w:r>
        </w:p>
        <w:p>
          <w:pPr>
            <w:pStyle w:val="9"/>
            <w:tabs>
              <w:tab w:val="right" w:leader="dot" w:pos="8306"/>
            </w:tabs>
            <w:rPr>
              <w:rFonts w:ascii="仿宋_GB2312" w:hAnsi="仿宋_GB2312" w:eastAsia="仿宋_GB2312" w:cs="仿宋_GB2312"/>
              <w:sz w:val="32"/>
              <w:szCs w:val="32"/>
            </w:rPr>
          </w:pPr>
          <w:r>
            <w:fldChar w:fldCharType="begin"/>
          </w:r>
          <w:r>
            <w:instrText xml:space="preserve"> HYPERLINK \l "_Toc441" </w:instrText>
          </w:r>
          <w:r>
            <w:fldChar w:fldCharType="separate"/>
          </w:r>
          <w:r>
            <w:rPr>
              <w:rFonts w:hint="eastAsia" w:ascii="仿宋_GB2312" w:hAnsi="仿宋_GB2312" w:eastAsia="仿宋_GB2312" w:cs="仿宋_GB2312"/>
              <w:sz w:val="32"/>
              <w:szCs w:val="32"/>
            </w:rPr>
            <w:t>1.学校情况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_Toc441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"_Toc8291" </w:instrText>
          </w:r>
          <w:r>
            <w:fldChar w:fldCharType="separate"/>
          </w:r>
          <w:r>
            <w:rPr>
              <w:rFonts w:hint="eastAsia" w:ascii="仿宋_GB2312" w:hAnsi="仿宋_GB2312" w:eastAsia="仿宋_GB2312" w:cs="仿宋_GB2312"/>
              <w:sz w:val="32"/>
              <w:szCs w:val="32"/>
            </w:rPr>
            <w:t>1.1学校概况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_Toc8291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"_Toc30674" </w:instrText>
          </w:r>
          <w:r>
            <w:fldChar w:fldCharType="separate"/>
          </w:r>
          <w:r>
            <w:rPr>
              <w:rFonts w:hint="eastAsia" w:ascii="仿宋_GB2312" w:hAnsi="仿宋_GB2312" w:eastAsia="仿宋_GB2312" w:cs="仿宋_GB2312"/>
              <w:sz w:val="32"/>
              <w:szCs w:val="32"/>
            </w:rPr>
            <w:t>1.2学生情况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_Toc30674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"_Toc5872" </w:instrText>
          </w:r>
          <w:r>
            <w:fldChar w:fldCharType="separate"/>
          </w:r>
          <w:r>
            <w:rPr>
              <w:rFonts w:hint="eastAsia" w:ascii="仿宋_GB2312" w:hAnsi="仿宋_GB2312" w:eastAsia="仿宋_GB2312" w:cs="仿宋_GB2312"/>
              <w:sz w:val="32"/>
              <w:szCs w:val="32"/>
            </w:rPr>
            <w:t>1.3教师队伍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_Toc5872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"_Toc19011" </w:instrText>
          </w:r>
          <w:r>
            <w:fldChar w:fldCharType="separate"/>
          </w:r>
          <w:r>
            <w:rPr>
              <w:rFonts w:hint="eastAsia" w:ascii="仿宋_GB2312" w:hAnsi="仿宋_GB2312" w:eastAsia="仿宋_GB2312" w:cs="仿宋_GB2312"/>
              <w:sz w:val="32"/>
              <w:szCs w:val="32"/>
            </w:rPr>
            <w:t>1.4设施设备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_Toc19011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ascii="仿宋_GB2312" w:hAnsi="仿宋_GB2312" w:eastAsia="仿宋_GB2312" w:cs="仿宋_GB2312"/>
              <w:sz w:val="32"/>
              <w:szCs w:val="32"/>
            </w:rPr>
          </w:pPr>
          <w:r>
            <w:fldChar w:fldCharType="begin"/>
          </w:r>
          <w:r>
            <w:instrText xml:space="preserve"> HYPERLINK \l "_Toc15219" </w:instrText>
          </w:r>
          <w:r>
            <w:fldChar w:fldCharType="separate"/>
          </w:r>
          <w:r>
            <w:rPr>
              <w:rFonts w:hint="eastAsia" w:ascii="仿宋_GB2312" w:hAnsi="仿宋_GB2312" w:eastAsia="仿宋_GB2312" w:cs="仿宋_GB2312"/>
              <w:sz w:val="32"/>
              <w:szCs w:val="32"/>
            </w:rPr>
            <w:t>2.学生发展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_Toc15219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"_Toc20189" </w:instrText>
          </w:r>
          <w:r>
            <w:fldChar w:fldCharType="separate"/>
          </w:r>
          <w:r>
            <w:rPr>
              <w:rFonts w:hint="eastAsia" w:ascii="仿宋_GB2312" w:hAnsi="仿宋_GB2312" w:eastAsia="仿宋_GB2312" w:cs="仿宋_GB2312"/>
              <w:sz w:val="32"/>
              <w:szCs w:val="32"/>
            </w:rPr>
            <w:t>2.1学生素质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_Toc20189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"_Toc1631" </w:instrText>
          </w:r>
          <w:r>
            <w:fldChar w:fldCharType="separate"/>
          </w:r>
          <w:r>
            <w:rPr>
              <w:rFonts w:hint="eastAsia" w:ascii="仿宋_GB2312" w:hAnsi="仿宋_GB2312" w:eastAsia="仿宋_GB2312" w:cs="仿宋_GB2312"/>
              <w:sz w:val="32"/>
              <w:szCs w:val="32"/>
            </w:rPr>
            <w:t>2.2在校体验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"_Toc24142" </w:instrText>
          </w:r>
          <w:r>
            <w:fldChar w:fldCharType="separate"/>
          </w:r>
          <w:r>
            <w:rPr>
              <w:rFonts w:hint="eastAsia" w:ascii="仿宋_GB2312" w:hAnsi="仿宋_GB2312" w:eastAsia="仿宋_GB2312" w:cs="仿宋_GB2312"/>
              <w:sz w:val="32"/>
              <w:szCs w:val="32"/>
            </w:rPr>
            <w:t>2.3资助情况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_Toc24142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"_Toc2495" </w:instrText>
          </w:r>
          <w:r>
            <w:fldChar w:fldCharType="separate"/>
          </w:r>
          <w:r>
            <w:rPr>
              <w:rFonts w:hint="eastAsia" w:ascii="仿宋_GB2312" w:hAnsi="仿宋_GB2312" w:eastAsia="仿宋_GB2312" w:cs="仿宋_GB2312"/>
              <w:sz w:val="32"/>
              <w:szCs w:val="32"/>
            </w:rPr>
            <w:t>2.4 就业质量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_Toc2495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"_Toc31904" </w:instrText>
          </w:r>
          <w:r>
            <w:fldChar w:fldCharType="separate"/>
          </w:r>
          <w:r>
            <w:rPr>
              <w:rFonts w:hint="eastAsia" w:ascii="仿宋_GB2312" w:hAnsi="仿宋_GB2312" w:eastAsia="仿宋_GB2312" w:cs="仿宋_GB2312"/>
              <w:sz w:val="32"/>
              <w:szCs w:val="32"/>
            </w:rPr>
            <w:t>2.5 职业发展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_Toc31904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ascii="仿宋_GB2312" w:hAnsi="仿宋_GB2312" w:eastAsia="仿宋_GB2312" w:cs="仿宋_GB2312"/>
              <w:sz w:val="32"/>
              <w:szCs w:val="32"/>
            </w:rPr>
          </w:pPr>
          <w:r>
            <w:fldChar w:fldCharType="begin"/>
          </w:r>
          <w:r>
            <w:instrText xml:space="preserve"> HYPERLINK \l "_Toc19279" </w:instrText>
          </w:r>
          <w:r>
            <w:fldChar w:fldCharType="separate"/>
          </w:r>
          <w:r>
            <w:rPr>
              <w:rFonts w:hint="eastAsia" w:ascii="仿宋_GB2312" w:hAnsi="仿宋_GB2312" w:eastAsia="仿宋_GB2312" w:cs="仿宋_GB2312"/>
              <w:sz w:val="32"/>
              <w:szCs w:val="32"/>
            </w:rPr>
            <w:t>3.质量保障措施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_Toc19279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"_Toc5247" </w:instrText>
          </w:r>
          <w:r>
            <w:fldChar w:fldCharType="separate"/>
          </w:r>
          <w:r>
            <w:rPr>
              <w:rFonts w:hint="eastAsia" w:ascii="仿宋_GB2312" w:hAnsi="仿宋_GB2312" w:eastAsia="仿宋_GB2312" w:cs="仿宋_GB2312"/>
              <w:sz w:val="32"/>
              <w:szCs w:val="32"/>
            </w:rPr>
            <w:t>3.1专业动态调整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_Toc5247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"_Toc22441" </w:instrText>
          </w:r>
          <w:r>
            <w:fldChar w:fldCharType="separate"/>
          </w:r>
          <w:r>
            <w:rPr>
              <w:rFonts w:hint="eastAsia" w:ascii="仿宋_GB2312" w:hAnsi="仿宋_GB2312" w:eastAsia="仿宋_GB2312" w:cs="仿宋_GB2312"/>
              <w:sz w:val="32"/>
              <w:szCs w:val="32"/>
            </w:rPr>
            <w:t>3.2教育教学改革</w:t>
          </w:r>
          <w:r>
            <w:rPr>
              <w:rFonts w:hint="eastAsia" w:ascii="仿宋_GB2312" w:hAnsi="仿宋_GB2312" w:eastAsia="仿宋_GB2312" w:cs="仿宋_GB2312"/>
              <w:sz w:val="32"/>
              <w:szCs w:val="32"/>
            </w:rPr>
            <w:tab/>
          </w:r>
          <w:r>
            <w:rPr>
              <w:rFonts w:ascii="仿宋_GB2312" w:hAnsi="仿宋_GB2312" w:eastAsia="仿宋_GB2312" w:cs="仿宋_GB2312"/>
              <w:sz w:val="32"/>
              <w:szCs w:val="32"/>
            </w:rPr>
            <w:t>9</w:t>
          </w:r>
          <w:r>
            <w:rPr>
              <w:rFonts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"_Toc13997" </w:instrText>
          </w:r>
          <w:r>
            <w:fldChar w:fldCharType="separate"/>
          </w:r>
          <w:r>
            <w:rPr>
              <w:rFonts w:hint="eastAsia" w:ascii="仿宋_GB2312" w:hAnsi="仿宋_GB2312" w:eastAsia="仿宋_GB2312" w:cs="仿宋_GB2312"/>
              <w:sz w:val="32"/>
              <w:szCs w:val="32"/>
            </w:rPr>
            <w:t>3.3教师培养培训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_Toc13997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"_Toc20997" </w:instrText>
          </w:r>
          <w:r>
            <w:fldChar w:fldCharType="separate"/>
          </w:r>
          <w:r>
            <w:rPr>
              <w:rFonts w:hint="eastAsia" w:ascii="仿宋_GB2312" w:hAnsi="仿宋_GB2312" w:eastAsia="仿宋_GB2312" w:cs="仿宋_GB2312"/>
              <w:sz w:val="32"/>
              <w:szCs w:val="32"/>
            </w:rPr>
            <w:t>3.4规范管理情况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_Toc20997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"_Toc256" </w:instrText>
          </w:r>
          <w:r>
            <w:fldChar w:fldCharType="separate"/>
          </w:r>
          <w:r>
            <w:rPr>
              <w:rFonts w:hint="eastAsia" w:ascii="仿宋_GB2312" w:hAnsi="仿宋_GB2312" w:eastAsia="仿宋_GB2312" w:cs="仿宋_GB2312"/>
              <w:sz w:val="32"/>
              <w:szCs w:val="32"/>
            </w:rPr>
            <w:t>3.5德育工作情况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"_Toc12924" </w:instrText>
          </w:r>
          <w:r>
            <w:fldChar w:fldCharType="separate"/>
          </w:r>
          <w:r>
            <w:rPr>
              <w:rFonts w:hint="eastAsia" w:ascii="仿宋_GB2312" w:hAnsi="仿宋_GB2312" w:eastAsia="仿宋_GB2312" w:cs="仿宋_GB2312"/>
              <w:sz w:val="32"/>
              <w:szCs w:val="32"/>
            </w:rPr>
            <w:t>3.6党建情况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_Toc12924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ascii="仿宋_GB2312" w:hAnsi="仿宋_GB2312" w:eastAsia="仿宋_GB2312" w:cs="仿宋_GB2312"/>
              <w:sz w:val="32"/>
              <w:szCs w:val="32"/>
            </w:rPr>
          </w:pPr>
          <w:r>
            <w:fldChar w:fldCharType="begin"/>
          </w:r>
          <w:r>
            <w:instrText xml:space="preserve"> HYPERLINK \l "_Toc24182" </w:instrText>
          </w:r>
          <w:r>
            <w:fldChar w:fldCharType="separate"/>
          </w:r>
          <w:r>
            <w:rPr>
              <w:rFonts w:hint="eastAsia" w:ascii="仿宋_GB2312" w:hAnsi="仿宋_GB2312" w:eastAsia="仿宋_GB2312" w:cs="仿宋_GB2312"/>
              <w:sz w:val="32"/>
              <w:szCs w:val="32"/>
            </w:rPr>
            <w:t>4.校企合作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_Toc24182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"_Toc26155" </w:instrText>
          </w:r>
          <w:r>
            <w:fldChar w:fldCharType="separate"/>
          </w:r>
          <w:r>
            <w:rPr>
              <w:rFonts w:hint="eastAsia" w:ascii="仿宋_GB2312" w:hAnsi="仿宋_GB2312" w:eastAsia="仿宋_GB2312" w:cs="仿宋_GB2312"/>
              <w:sz w:val="32"/>
              <w:szCs w:val="32"/>
            </w:rPr>
            <w:t>4.1 校企合作开展情况和效果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_Toc26155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"_Toc1359" </w:instrText>
          </w:r>
          <w:r>
            <w:fldChar w:fldCharType="separate"/>
          </w:r>
          <w:r>
            <w:rPr>
              <w:rFonts w:hint="eastAsia" w:ascii="仿宋_GB2312" w:hAnsi="仿宋_GB2312" w:eastAsia="仿宋_GB2312" w:cs="仿宋_GB2312"/>
              <w:sz w:val="32"/>
              <w:szCs w:val="32"/>
            </w:rPr>
            <w:t>4.2 学生实习情况</w:t>
          </w:r>
          <w:r>
            <w:rPr>
              <w:rFonts w:hint="eastAsia" w:ascii="仿宋_GB2312" w:hAnsi="仿宋_GB2312" w:eastAsia="仿宋_GB2312" w:cs="仿宋_GB2312"/>
              <w:sz w:val="32"/>
              <w:szCs w:val="32"/>
            </w:rPr>
            <w:tab/>
          </w:r>
          <w:r>
            <w:rPr>
              <w:rFonts w:ascii="仿宋_GB2312" w:hAnsi="仿宋_GB2312" w:eastAsia="仿宋_GB2312" w:cs="仿宋_GB2312"/>
              <w:sz w:val="32"/>
              <w:szCs w:val="32"/>
            </w:rPr>
            <w:t>20</w:t>
          </w:r>
          <w:r>
            <w:rPr>
              <w:rFonts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"_Toc14730" </w:instrText>
          </w:r>
          <w:r>
            <w:fldChar w:fldCharType="separate"/>
          </w:r>
          <w:r>
            <w:rPr>
              <w:rFonts w:hint="eastAsia" w:ascii="仿宋_GB2312" w:hAnsi="仿宋_GB2312" w:eastAsia="仿宋_GB2312" w:cs="仿宋_GB2312"/>
              <w:sz w:val="32"/>
              <w:szCs w:val="32"/>
            </w:rPr>
            <w:t>4.3集团化办学情况</w:t>
          </w:r>
          <w:r>
            <w:rPr>
              <w:rFonts w:hint="eastAsia" w:ascii="仿宋_GB2312" w:hAnsi="仿宋_GB2312" w:eastAsia="仿宋_GB2312" w:cs="仿宋_GB2312"/>
              <w:sz w:val="32"/>
              <w:szCs w:val="32"/>
            </w:rPr>
            <w:tab/>
          </w:r>
          <w:r>
            <w:rPr>
              <w:rFonts w:ascii="仿宋_GB2312" w:hAnsi="仿宋_GB2312" w:eastAsia="仿宋_GB2312" w:cs="仿宋_GB2312"/>
              <w:sz w:val="32"/>
              <w:szCs w:val="32"/>
            </w:rPr>
            <w:t>21</w:t>
          </w:r>
          <w:r>
            <w:rPr>
              <w:rFonts w:ascii="仿宋_GB2312" w:hAnsi="仿宋_GB2312" w:eastAsia="仿宋_GB2312" w:cs="仿宋_GB2312"/>
              <w:sz w:val="32"/>
              <w:szCs w:val="32"/>
            </w:rPr>
            <w:fldChar w:fldCharType="end"/>
          </w:r>
        </w:p>
        <w:p>
          <w:pPr>
            <w:pStyle w:val="9"/>
            <w:tabs>
              <w:tab w:val="right" w:leader="dot" w:pos="8306"/>
            </w:tabs>
            <w:rPr>
              <w:rFonts w:ascii="仿宋_GB2312" w:hAnsi="仿宋_GB2312" w:eastAsia="仿宋_GB2312" w:cs="仿宋_GB2312"/>
              <w:sz w:val="32"/>
              <w:szCs w:val="32"/>
            </w:rPr>
          </w:pPr>
          <w:r>
            <w:fldChar w:fldCharType="begin"/>
          </w:r>
          <w:r>
            <w:instrText xml:space="preserve"> HYPERLINK \l "_Toc2702" </w:instrText>
          </w:r>
          <w:r>
            <w:fldChar w:fldCharType="separate"/>
          </w:r>
          <w:r>
            <w:rPr>
              <w:rFonts w:hint="eastAsia" w:ascii="仿宋_GB2312" w:hAnsi="仿宋_GB2312" w:eastAsia="仿宋_GB2312" w:cs="仿宋_GB2312"/>
              <w:sz w:val="32"/>
              <w:szCs w:val="32"/>
            </w:rPr>
            <w:t>5.社会贡献</w:t>
          </w:r>
          <w:r>
            <w:rPr>
              <w:rFonts w:hint="eastAsia" w:ascii="仿宋_GB2312" w:hAnsi="仿宋_GB2312" w:eastAsia="仿宋_GB2312" w:cs="仿宋_GB2312"/>
              <w:sz w:val="32"/>
              <w:szCs w:val="32"/>
            </w:rPr>
            <w:tab/>
          </w:r>
          <w:r>
            <w:rPr>
              <w:rFonts w:ascii="仿宋_GB2312" w:hAnsi="仿宋_GB2312" w:eastAsia="仿宋_GB2312" w:cs="仿宋_GB2312"/>
              <w:sz w:val="32"/>
              <w:szCs w:val="32"/>
            </w:rPr>
            <w:t>21</w:t>
          </w:r>
          <w:r>
            <w:rPr>
              <w:rFonts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"_Toc9811" </w:instrText>
          </w:r>
          <w:r>
            <w:fldChar w:fldCharType="separate"/>
          </w:r>
          <w:r>
            <w:rPr>
              <w:rFonts w:hint="eastAsia" w:ascii="仿宋_GB2312" w:hAnsi="仿宋_GB2312" w:eastAsia="仿宋_GB2312" w:cs="仿宋_GB2312"/>
              <w:sz w:val="32"/>
              <w:szCs w:val="32"/>
            </w:rPr>
            <w:t>5.1 技术技能人才培养</w:t>
          </w:r>
          <w:r>
            <w:rPr>
              <w:rFonts w:hint="eastAsia" w:ascii="仿宋_GB2312" w:hAnsi="仿宋_GB2312" w:eastAsia="仿宋_GB2312" w:cs="仿宋_GB2312"/>
              <w:sz w:val="32"/>
              <w:szCs w:val="32"/>
            </w:rPr>
            <w:tab/>
          </w:r>
          <w:r>
            <w:rPr>
              <w:rFonts w:ascii="仿宋_GB2312" w:hAnsi="仿宋_GB2312" w:eastAsia="仿宋_GB2312" w:cs="仿宋_GB2312"/>
              <w:sz w:val="32"/>
              <w:szCs w:val="32"/>
            </w:rPr>
            <w:t>21</w:t>
          </w:r>
          <w:r>
            <w:rPr>
              <w:rFonts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"_Toc24261" </w:instrText>
          </w:r>
          <w:r>
            <w:fldChar w:fldCharType="separate"/>
          </w:r>
          <w:r>
            <w:rPr>
              <w:rFonts w:hint="eastAsia" w:ascii="仿宋_GB2312" w:hAnsi="仿宋_GB2312" w:eastAsia="仿宋_GB2312" w:cs="仿宋_GB2312"/>
              <w:sz w:val="32"/>
              <w:szCs w:val="32"/>
            </w:rPr>
            <w:t>5.2 社会服务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_Toc24261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"_Toc10657" </w:instrText>
          </w:r>
          <w:r>
            <w:fldChar w:fldCharType="separate"/>
          </w:r>
          <w:r>
            <w:rPr>
              <w:rFonts w:hint="eastAsia" w:ascii="仿宋_GB2312" w:hAnsi="仿宋_GB2312" w:eastAsia="仿宋_GB2312" w:cs="仿宋_GB2312"/>
              <w:sz w:val="32"/>
              <w:szCs w:val="32"/>
            </w:rPr>
            <w:t>5.3对口支援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_Toc10657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ascii="仿宋_GB2312" w:hAnsi="仿宋_GB2312" w:eastAsia="仿宋_GB2312" w:cs="仿宋_GB2312"/>
              <w:sz w:val="32"/>
              <w:szCs w:val="32"/>
            </w:rPr>
          </w:pPr>
          <w:r>
            <w:fldChar w:fldCharType="begin"/>
          </w:r>
          <w:r>
            <w:instrText xml:space="preserve"> HYPERLINK \l "_Toc26149" </w:instrText>
          </w:r>
          <w:r>
            <w:fldChar w:fldCharType="separate"/>
          </w:r>
          <w:r>
            <w:rPr>
              <w:rFonts w:hint="eastAsia" w:ascii="仿宋_GB2312" w:hAnsi="仿宋_GB2312" w:eastAsia="仿宋_GB2312" w:cs="仿宋_GB2312"/>
              <w:sz w:val="32"/>
              <w:szCs w:val="32"/>
            </w:rPr>
            <w:t>6.举办者履责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_Toc26149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"_Toc11329" </w:instrText>
          </w:r>
          <w:r>
            <w:fldChar w:fldCharType="separate"/>
          </w:r>
          <w:r>
            <w:rPr>
              <w:rFonts w:hint="eastAsia" w:ascii="仿宋_GB2312" w:hAnsi="仿宋_GB2312" w:eastAsia="仿宋_GB2312" w:cs="仿宋_GB2312"/>
              <w:sz w:val="32"/>
              <w:szCs w:val="32"/>
            </w:rPr>
            <w:t>6.1经费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_Toc11329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"_Toc11812" </w:instrText>
          </w:r>
          <w:r>
            <w:fldChar w:fldCharType="separate"/>
          </w:r>
          <w:r>
            <w:rPr>
              <w:rFonts w:hint="eastAsia" w:ascii="仿宋_GB2312" w:hAnsi="仿宋_GB2312" w:eastAsia="仿宋_GB2312" w:cs="仿宋_GB2312"/>
              <w:sz w:val="32"/>
              <w:szCs w:val="32"/>
            </w:rPr>
            <w:t>6.2政策措施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_Toc11812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ascii="仿宋_GB2312" w:hAnsi="仿宋_GB2312" w:eastAsia="仿宋_GB2312" w:cs="仿宋_GB2312"/>
              <w:sz w:val="32"/>
              <w:szCs w:val="32"/>
            </w:rPr>
          </w:pPr>
          <w:r>
            <w:fldChar w:fldCharType="begin"/>
          </w:r>
          <w:r>
            <w:instrText xml:space="preserve"> HYPERLINK \l "_Toc5702" </w:instrText>
          </w:r>
          <w:r>
            <w:fldChar w:fldCharType="separate"/>
          </w:r>
          <w:r>
            <w:rPr>
              <w:rFonts w:hint="eastAsia" w:ascii="仿宋_GB2312" w:hAnsi="仿宋_GB2312" w:eastAsia="仿宋_GB2312" w:cs="仿宋_GB2312"/>
              <w:sz w:val="32"/>
              <w:szCs w:val="32"/>
            </w:rPr>
            <w:t>7.特色创新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_Toc5702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"_Toc5430" </w:instrText>
          </w:r>
          <w:r>
            <w:fldChar w:fldCharType="separate"/>
          </w:r>
          <w:r>
            <w:rPr>
              <w:rFonts w:hint="eastAsia" w:ascii="仿宋_GB2312" w:hAnsi="仿宋_GB2312" w:eastAsia="仿宋_GB2312" w:cs="仿宋_GB2312"/>
              <w:sz w:val="32"/>
              <w:szCs w:val="32"/>
            </w:rPr>
            <w:t>7.1【典型人物案例】榜样引领工程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_Toc5430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"_Toc12368" </w:instrText>
          </w:r>
          <w:r>
            <w:fldChar w:fldCharType="separate"/>
          </w:r>
          <w:r>
            <w:rPr>
              <w:rFonts w:hint="eastAsia" w:ascii="仿宋_GB2312" w:hAnsi="仿宋_GB2312" w:eastAsia="仿宋_GB2312" w:cs="仿宋_GB2312"/>
              <w:sz w:val="32"/>
              <w:szCs w:val="32"/>
            </w:rPr>
            <w:t>7.2【德育案例】阳光陪同工程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_Toc12368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ascii="仿宋_GB2312" w:hAnsi="仿宋_GB2312" w:eastAsia="仿宋_GB2312" w:cs="仿宋_GB2312"/>
              <w:sz w:val="32"/>
              <w:szCs w:val="32"/>
            </w:rPr>
          </w:pPr>
          <w:r>
            <w:fldChar w:fldCharType="begin"/>
          </w:r>
          <w:r>
            <w:instrText xml:space="preserve"> HYPERLINK \l "_Toc7535" </w:instrText>
          </w:r>
          <w:r>
            <w:fldChar w:fldCharType="separate"/>
          </w:r>
          <w:r>
            <w:rPr>
              <w:rFonts w:hint="eastAsia" w:ascii="仿宋_GB2312" w:hAnsi="仿宋_GB2312" w:eastAsia="仿宋_GB2312" w:cs="仿宋_GB2312"/>
              <w:sz w:val="32"/>
              <w:szCs w:val="32"/>
            </w:rPr>
            <w:t>8.主要问题和改进措施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_Toc7535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"_Toc18494" </w:instrText>
          </w:r>
          <w:r>
            <w:fldChar w:fldCharType="separate"/>
          </w:r>
          <w:r>
            <w:rPr>
              <w:rFonts w:hint="eastAsia" w:ascii="仿宋_GB2312" w:hAnsi="仿宋_GB2312" w:eastAsia="仿宋_GB2312" w:cs="仿宋_GB2312"/>
              <w:sz w:val="32"/>
              <w:szCs w:val="32"/>
            </w:rPr>
            <w:t>8.1主要问题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_Toc18494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"_Toc10497" </w:instrText>
          </w:r>
          <w:r>
            <w:fldChar w:fldCharType="separate"/>
          </w:r>
          <w:r>
            <w:rPr>
              <w:rFonts w:hint="eastAsia" w:ascii="仿宋_GB2312" w:hAnsi="仿宋_GB2312" w:eastAsia="仿宋_GB2312" w:cs="仿宋_GB2312"/>
              <w:sz w:val="32"/>
              <w:szCs w:val="32"/>
            </w:rPr>
            <w:t>8.2改进措施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_Toc10497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rPr>
              <w:rFonts w:ascii="仿宋_GB2312" w:hAnsi="仿宋_GB2312" w:eastAsia="仿宋_GB2312" w:cs="仿宋_GB2312"/>
              <w:sz w:val="32"/>
              <w:szCs w:val="32"/>
            </w:rPr>
            <w:sectPr>
              <w:pgSz w:w="11906" w:h="16838"/>
              <w:pgMar w:top="1440" w:right="1800" w:bottom="1440" w:left="1800" w:header="851" w:footer="992" w:gutter="0"/>
              <w:pgNumType w:start="1"/>
              <w:cols w:space="425" w:num="1"/>
              <w:docGrid w:type="lines" w:linePitch="312" w:charSpace="0"/>
            </w:sectPr>
          </w:pPr>
          <w:r>
            <w:rPr>
              <w:rFonts w:ascii="仿宋_GB2312" w:hAnsi="仿宋_GB2312" w:eastAsia="仿宋_GB2312" w:cs="仿宋_GB2312"/>
              <w:szCs w:val="32"/>
            </w:rPr>
            <w:fldChar w:fldCharType="end"/>
          </w:r>
        </w:p>
      </w:sdtContent>
    </w:sdt>
    <w:p>
      <w:pPr>
        <w:jc w:val="center"/>
        <w:rPr>
          <w:rFonts w:ascii="方正小标宋简体" w:hAnsi="方正小标宋简体" w:eastAsia="方正小标宋简体" w:cs="方正小标宋简体"/>
          <w:b/>
          <w:bCs/>
          <w:sz w:val="48"/>
          <w:szCs w:val="4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0" w:name="_Toc14002"/>
      <w:bookmarkStart w:id="1" w:name="_Toc15888_WPSOffice_Level1"/>
      <w:bookmarkStart w:id="2" w:name="_Toc11156"/>
    </w:p>
    <w:p>
      <w:pPr>
        <w:jc w:val="center"/>
        <w:outlineLvl w:val="0"/>
        <w:rPr>
          <w:rFonts w:ascii="方正小标宋简体" w:hAnsi="方正小标宋简体" w:eastAsia="方正小标宋简体" w:cs="方正小标宋简体"/>
          <w:b/>
          <w:bCs/>
          <w:sz w:val="48"/>
          <w:szCs w:val="48"/>
        </w:rPr>
      </w:pPr>
      <w:bookmarkStart w:id="3" w:name="_Toc24749"/>
      <w:bookmarkStart w:id="4" w:name="_Toc32407"/>
      <w:r>
        <w:rPr>
          <w:rFonts w:hint="eastAsia" w:ascii="方正小标宋简体" w:hAnsi="方正小标宋简体" w:eastAsia="方正小标宋简体" w:cs="方正小标宋简体"/>
          <w:b/>
          <w:bCs/>
          <w:sz w:val="48"/>
          <w:szCs w:val="48"/>
        </w:rPr>
        <w:t>江西省轻工业高级技工学校</w:t>
      </w:r>
      <w:bookmarkEnd w:id="0"/>
      <w:bookmarkEnd w:id="1"/>
      <w:bookmarkEnd w:id="3"/>
      <w:bookmarkEnd w:id="4"/>
    </w:p>
    <w:p>
      <w:pPr>
        <w:jc w:val="center"/>
        <w:outlineLvl w:val="0"/>
      </w:pPr>
      <w:bookmarkStart w:id="5" w:name="_Toc6821"/>
      <w:bookmarkStart w:id="6" w:name="_Toc29243_WPSOffice_Level1"/>
      <w:bookmarkStart w:id="7" w:name="_Toc6649"/>
      <w:bookmarkStart w:id="8" w:name="_Toc13013"/>
      <w:r>
        <w:rPr>
          <w:rFonts w:hint="eastAsia" w:ascii="方正小标宋简体" w:hAnsi="方正小标宋简体" w:eastAsia="方正小标宋简体" w:cs="方正小标宋简体"/>
          <w:b/>
          <w:bCs/>
          <w:sz w:val="48"/>
          <w:szCs w:val="48"/>
        </w:rPr>
        <w:t>2019年中等职业教育质量年度报告</w:t>
      </w:r>
      <w:bookmarkEnd w:id="5"/>
      <w:bookmarkEnd w:id="6"/>
      <w:bookmarkEnd w:id="7"/>
      <w:bookmarkEnd w:id="8"/>
    </w:p>
    <w:p>
      <w:pPr>
        <w:pStyle w:val="3"/>
        <w:spacing w:before="312" w:after="312" w:line="500" w:lineRule="exact"/>
      </w:pPr>
      <w:bookmarkStart w:id="9" w:name="_Toc441"/>
      <w:r>
        <w:rPr>
          <w:rFonts w:hint="eastAsia"/>
        </w:rPr>
        <w:t>1.学校情况</w:t>
      </w:r>
      <w:bookmarkEnd w:id="2"/>
      <w:bookmarkEnd w:id="9"/>
    </w:p>
    <w:p>
      <w:pPr>
        <w:pStyle w:val="4"/>
        <w:spacing w:before="156" w:after="156" w:line="500" w:lineRule="exact"/>
        <w:ind w:firstLine="723"/>
        <w:jc w:val="both"/>
        <w:rPr>
          <w:rFonts w:hint="default"/>
        </w:rPr>
      </w:pPr>
      <w:bookmarkStart w:id="10" w:name="_Toc23945"/>
      <w:bookmarkStart w:id="11" w:name="_Toc3826"/>
      <w:bookmarkStart w:id="12" w:name="_Toc8291"/>
      <w:bookmarkStart w:id="13" w:name="_Toc28501"/>
      <w:r>
        <w:t>1.1学校概况</w:t>
      </w:r>
      <w:bookmarkEnd w:id="10"/>
      <w:bookmarkEnd w:id="11"/>
      <w:bookmarkEnd w:id="12"/>
      <w:bookmarkEnd w:id="13"/>
    </w:p>
    <w:p>
      <w:pPr>
        <w:spacing w:line="500" w:lineRule="exact"/>
        <w:ind w:firstLine="640" w:firstLineChars="200"/>
        <w:rPr>
          <w:rFonts w:ascii="仿宋_GB2312" w:hAnsi="仿宋_GB2312" w:eastAsia="仿宋_GB2312" w:cs="仿宋_GB2312"/>
          <w:sz w:val="32"/>
          <w:szCs w:val="32"/>
          <w:shd w:val="clear" w:color="auto" w:fill="FDFDFC"/>
        </w:rPr>
      </w:pPr>
      <w:r>
        <w:rPr>
          <w:rFonts w:hint="eastAsia" w:ascii="仿宋_GB2312" w:hAnsi="仿宋_GB2312" w:eastAsia="仿宋_GB2312" w:cs="仿宋_GB2312"/>
          <w:sz w:val="32"/>
          <w:szCs w:val="32"/>
          <w:shd w:val="clear" w:color="auto" w:fill="FDFDFC"/>
        </w:rPr>
        <w:t>江西省轻工业高级技工学校的前身是江西省轻化工业技工学校，创办于1978年，校址设在永修县。1980年迁至宜春市袁州区黄颇路。1984年经省政府批准，分立为江西省轻工业技工学校和江西省化学工业技工学校。江西省轻工业技工学校留在原址办学，属正县级事业单位，2006年晋升为高级技工学校。2014年4月，学校划转省教育厅直管，成为省教育厅直属院校。</w:t>
      </w:r>
    </w:p>
    <w:p>
      <w:pPr>
        <w:spacing w:line="500" w:lineRule="exact"/>
        <w:ind w:firstLine="640" w:firstLineChars="200"/>
        <w:rPr>
          <w:rFonts w:ascii="仿宋_GB2312" w:hAnsi="仿宋_GB2312" w:eastAsia="仿宋_GB2312" w:cs="仿宋_GB2312"/>
          <w:sz w:val="32"/>
          <w:szCs w:val="32"/>
          <w:shd w:val="clear" w:color="auto" w:fill="FDFDFC"/>
        </w:rPr>
      </w:pPr>
      <w:r>
        <w:rPr>
          <w:rFonts w:hint="eastAsia" w:ascii="仿宋_GB2312" w:hAnsi="仿宋_GB2312" w:eastAsia="仿宋_GB2312" w:cs="仿宋_GB2312"/>
          <w:sz w:val="32"/>
          <w:szCs w:val="32"/>
          <w:shd w:val="clear" w:color="auto" w:fill="FDFDFC"/>
        </w:rPr>
        <w:t>2016年10月，学校搬迁至新校园办学。新校园位于宜春市袁州区环城南路199号，占地210亩，一、二期工程已建成并投付使用，建筑面积56188平方米，可容纳1</w:t>
      </w:r>
      <w:r>
        <w:rPr>
          <w:rFonts w:ascii="仿宋_GB2312" w:hAnsi="仿宋_GB2312" w:eastAsia="仿宋_GB2312" w:cs="仿宋_GB2312"/>
          <w:sz w:val="32"/>
          <w:szCs w:val="32"/>
          <w:shd w:val="clear" w:color="auto" w:fill="FDFDFC"/>
        </w:rPr>
        <w:t>0</w:t>
      </w:r>
      <w:r>
        <w:rPr>
          <w:rFonts w:hint="eastAsia" w:ascii="仿宋_GB2312" w:hAnsi="仿宋_GB2312" w:eastAsia="仿宋_GB2312" w:cs="仿宋_GB2312"/>
          <w:sz w:val="32"/>
          <w:szCs w:val="32"/>
          <w:shd w:val="clear" w:color="auto" w:fill="FDFDFC"/>
        </w:rPr>
        <w:t>0个教学班、5000名学生同时在校学习。搬迁至新校园后，学校</w:t>
      </w:r>
      <w:r>
        <w:rPr>
          <w:rFonts w:hint="eastAsia" w:ascii="仿宋_GB2312" w:hAnsi="仿宋_GB2312" w:eastAsia="仿宋_GB2312" w:cs="仿宋_GB2312"/>
          <w:sz w:val="32"/>
          <w:szCs w:val="32"/>
        </w:rPr>
        <w:t>办学实力进一步增强，办学环境进一步优化，校园面积、建筑面积、实训场所均满足《中等职业学校设置标准》要求，为学校整体事业发展提供长远保障。</w:t>
      </w:r>
    </w:p>
    <w:p>
      <w:pPr>
        <w:spacing w:line="500" w:lineRule="exact"/>
        <w:ind w:firstLine="640" w:firstLineChars="200"/>
        <w:rPr>
          <w:rFonts w:ascii="仿宋_GB2312" w:hAnsi="仿宋_GB2312" w:eastAsia="仿宋_GB2312" w:cs="仿宋_GB2312"/>
          <w:sz w:val="32"/>
          <w:szCs w:val="32"/>
          <w:shd w:val="clear" w:color="auto" w:fill="FDFDFC"/>
        </w:rPr>
      </w:pPr>
      <w:r>
        <w:rPr>
          <w:rFonts w:hint="eastAsia" w:ascii="仿宋_GB2312" w:hAnsi="仿宋_GB2312" w:eastAsia="仿宋_GB2312" w:cs="仿宋_GB2312"/>
          <w:sz w:val="32"/>
          <w:szCs w:val="32"/>
          <w:shd w:val="clear" w:color="auto" w:fill="FDFDFC"/>
        </w:rPr>
        <w:t>学校是集中职教育、高技能人才培养培训、职业技能鉴定、成人教育为一体的国家级重点技工学校，先后被评为江西省职业教育先进单位、全省综治工作先进单位，并多次被评为宜春市文明单位、全省技工院校工作先进单位，2010年6月学校荣获“全国中等职业学校德育工作先进集体”称号，2013年至今为第十三届、第十四届、第十五届“江西省文明单位”，2017年11月被中国职协轻工分会评为“职业教育先进单位”，2018年被评为省直教育系统公共机构节能优秀单位。</w:t>
      </w:r>
    </w:p>
    <w:tbl>
      <w:tblPr>
        <w:tblStyle w:val="13"/>
        <w:tblW w:w="8716"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786"/>
        <w:gridCol w:w="693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01" w:hRule="atLeast"/>
        </w:trPr>
        <w:tc>
          <w:tcPr>
            <w:tcW w:w="178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themeFill="accent1"/>
            <w:vAlign w:val="center"/>
          </w:tcPr>
          <w:p>
            <w:pPr>
              <w:spacing w:line="500" w:lineRule="exact"/>
              <w:jc w:val="center"/>
              <w:rPr>
                <w:rFonts w:asciiTheme="minorEastAsia" w:hAnsiTheme="minorEastAsia" w:cstheme="minorEastAsia"/>
                <w:b/>
                <w:bCs/>
                <w:sz w:val="24"/>
                <w:shd w:val="clear" w:color="auto" w:fill="FDFDFC"/>
              </w:rPr>
            </w:pPr>
            <w:r>
              <w:rPr>
                <w:rFonts w:hint="eastAsia" w:asciiTheme="minorEastAsia" w:hAnsiTheme="minorEastAsia" w:cstheme="minorEastAsia"/>
                <w:b/>
                <w:bCs/>
                <w:sz w:val="24"/>
                <w:shd w:val="clear" w:color="auto" w:fill="5B9BD5" w:themeFill="accent1"/>
              </w:rPr>
              <w:t>校名</w:t>
            </w:r>
          </w:p>
        </w:tc>
        <w:tc>
          <w:tcPr>
            <w:tcW w:w="69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themeFill="accent1"/>
            <w:vAlign w:val="center"/>
          </w:tcPr>
          <w:p>
            <w:pPr>
              <w:spacing w:line="500" w:lineRule="exact"/>
              <w:jc w:val="left"/>
              <w:rPr>
                <w:rFonts w:asciiTheme="minorEastAsia" w:hAnsiTheme="minorEastAsia" w:cstheme="minorEastAsia"/>
                <w:b/>
                <w:bCs/>
                <w:sz w:val="24"/>
                <w:shd w:val="clear" w:color="auto" w:fill="FDFDFC"/>
              </w:rPr>
            </w:pPr>
            <w:r>
              <w:rPr>
                <w:rFonts w:hint="eastAsia" w:asciiTheme="minorEastAsia" w:hAnsiTheme="minorEastAsia" w:cstheme="minorEastAsia"/>
                <w:b/>
                <w:bCs/>
                <w:sz w:val="24"/>
                <w:shd w:val="clear" w:color="auto" w:fill="5B9BD5" w:themeFill="accent1"/>
              </w:rPr>
              <w:t>江西省轻工业高级技工学校</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5" w:hRule="atLeast"/>
        </w:trPr>
        <w:tc>
          <w:tcPr>
            <w:tcW w:w="178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themeFill="background1" w:themeFillShade="F2"/>
            <w:vAlign w:val="center"/>
          </w:tcPr>
          <w:p>
            <w:pPr>
              <w:spacing w:line="500" w:lineRule="exact"/>
              <w:jc w:val="center"/>
              <w:rPr>
                <w:rFonts w:asciiTheme="minorEastAsia" w:hAnsiTheme="minorEastAsia" w:cstheme="minorEastAsia"/>
                <w:b/>
                <w:bCs/>
                <w:sz w:val="24"/>
                <w:shd w:val="clear" w:color="auto" w:fill="FDFDFC"/>
              </w:rPr>
            </w:pPr>
            <w:r>
              <w:rPr>
                <w:rFonts w:hint="eastAsia" w:asciiTheme="minorEastAsia" w:hAnsiTheme="minorEastAsia" w:cstheme="minorEastAsia"/>
                <w:b/>
                <w:bCs/>
                <w:sz w:val="24"/>
                <w:shd w:val="clear" w:color="auto" w:fill="F1F1F1" w:themeFill="background1" w:themeFillShade="F2"/>
              </w:rPr>
              <w:t>办学性质</w:t>
            </w:r>
          </w:p>
        </w:tc>
        <w:tc>
          <w:tcPr>
            <w:tcW w:w="69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themeFill="background1" w:themeFillShade="F2"/>
            <w:vAlign w:val="center"/>
          </w:tcPr>
          <w:p>
            <w:pPr>
              <w:spacing w:line="500" w:lineRule="exact"/>
              <w:jc w:val="left"/>
              <w:rPr>
                <w:rFonts w:asciiTheme="minorEastAsia" w:hAnsiTheme="minorEastAsia" w:cstheme="minorEastAsia"/>
                <w:sz w:val="24"/>
                <w:shd w:val="clear" w:color="auto" w:fill="FDFDFC"/>
              </w:rPr>
            </w:pPr>
            <w:r>
              <w:rPr>
                <w:rFonts w:hint="eastAsia" w:asciiTheme="minorEastAsia" w:hAnsiTheme="minorEastAsia" w:cstheme="minorEastAsia"/>
                <w:sz w:val="24"/>
                <w:shd w:val="clear" w:color="auto" w:fill="F1F1F1" w:themeFill="background1" w:themeFillShade="F2"/>
              </w:rPr>
              <w:t>江西省教育厅直属公办职业学校</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85" w:hRule="atLeast"/>
        </w:trPr>
        <w:tc>
          <w:tcPr>
            <w:tcW w:w="178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themeFill="accent1" w:themeFillTint="99"/>
            <w:vAlign w:val="center"/>
          </w:tcPr>
          <w:p>
            <w:pPr>
              <w:spacing w:line="500" w:lineRule="exact"/>
              <w:jc w:val="center"/>
              <w:rPr>
                <w:rFonts w:asciiTheme="minorEastAsia" w:hAnsiTheme="minorEastAsia" w:cstheme="minorEastAsia"/>
                <w:b/>
                <w:bCs/>
                <w:sz w:val="24"/>
                <w:shd w:val="clear" w:color="auto" w:fill="FDFDFC"/>
              </w:rPr>
            </w:pPr>
            <w:r>
              <w:rPr>
                <w:rFonts w:hint="eastAsia" w:asciiTheme="minorEastAsia" w:hAnsiTheme="minorEastAsia" w:cstheme="minorEastAsia"/>
                <w:b/>
                <w:bCs/>
                <w:sz w:val="24"/>
                <w:shd w:val="clear" w:color="auto" w:fill="9CC2E5" w:themeFill="accent1" w:themeFillTint="99"/>
              </w:rPr>
              <w:t>占地面积</w:t>
            </w:r>
          </w:p>
        </w:tc>
        <w:tc>
          <w:tcPr>
            <w:tcW w:w="69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themeFill="accent1" w:themeFillTint="99"/>
            <w:vAlign w:val="center"/>
          </w:tcPr>
          <w:p>
            <w:pPr>
              <w:spacing w:line="500" w:lineRule="exact"/>
              <w:rPr>
                <w:rFonts w:asciiTheme="minorEastAsia" w:hAnsiTheme="minorEastAsia" w:cstheme="minorEastAsia"/>
                <w:sz w:val="24"/>
                <w:shd w:val="clear" w:color="auto" w:fill="FDFDFC"/>
              </w:rPr>
            </w:pPr>
            <w:r>
              <w:rPr>
                <w:rFonts w:hint="eastAsia" w:asciiTheme="minorEastAsia" w:hAnsiTheme="minorEastAsia" w:cstheme="minorEastAsia"/>
                <w:sz w:val="24"/>
                <w:shd w:val="clear" w:color="auto" w:fill="9CC2E5" w:themeFill="accent1" w:themeFillTint="99"/>
              </w:rPr>
              <w:t>210亩</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4" w:hRule="atLeast"/>
        </w:trPr>
        <w:tc>
          <w:tcPr>
            <w:tcW w:w="178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themeFill="background1" w:themeFillShade="F2"/>
            <w:vAlign w:val="center"/>
          </w:tcPr>
          <w:p>
            <w:pPr>
              <w:spacing w:line="500" w:lineRule="exact"/>
              <w:jc w:val="center"/>
              <w:rPr>
                <w:rFonts w:asciiTheme="minorEastAsia" w:hAnsiTheme="minorEastAsia" w:cstheme="minorEastAsia"/>
                <w:b/>
                <w:bCs/>
                <w:sz w:val="24"/>
                <w:shd w:val="clear" w:color="auto" w:fill="FDFDFC"/>
              </w:rPr>
            </w:pPr>
            <w:r>
              <w:rPr>
                <w:rFonts w:hint="eastAsia" w:asciiTheme="minorEastAsia" w:hAnsiTheme="minorEastAsia" w:cstheme="minorEastAsia"/>
                <w:b/>
                <w:bCs/>
                <w:sz w:val="24"/>
                <w:shd w:val="clear" w:color="auto" w:fill="F1F1F1" w:themeFill="background1" w:themeFillShade="F2"/>
              </w:rPr>
              <w:t>建筑面积</w:t>
            </w:r>
          </w:p>
        </w:tc>
        <w:tc>
          <w:tcPr>
            <w:tcW w:w="69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themeFill="background1" w:themeFillShade="F2"/>
            <w:vAlign w:val="center"/>
          </w:tcPr>
          <w:p>
            <w:pPr>
              <w:spacing w:line="500" w:lineRule="exact"/>
              <w:jc w:val="left"/>
              <w:rPr>
                <w:rFonts w:asciiTheme="minorEastAsia" w:hAnsiTheme="minorEastAsia" w:cstheme="minorEastAsia"/>
                <w:sz w:val="24"/>
                <w:shd w:val="clear" w:color="auto" w:fill="FDFDFC"/>
              </w:rPr>
            </w:pPr>
            <w:r>
              <w:rPr>
                <w:rFonts w:hint="eastAsia" w:asciiTheme="minorEastAsia" w:hAnsiTheme="minorEastAsia" w:cstheme="minorEastAsia"/>
                <w:sz w:val="24"/>
                <w:shd w:val="clear" w:color="auto" w:fill="F1F1F1" w:themeFill="background1" w:themeFillShade="F2"/>
              </w:rPr>
              <w:t>56188平方米</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060" w:hRule="atLeast"/>
        </w:trPr>
        <w:tc>
          <w:tcPr>
            <w:tcW w:w="178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themeFill="accent1" w:themeFillTint="99"/>
            <w:vAlign w:val="center"/>
          </w:tcPr>
          <w:p>
            <w:pPr>
              <w:spacing w:line="500" w:lineRule="exact"/>
              <w:jc w:val="center"/>
              <w:rPr>
                <w:rFonts w:asciiTheme="minorEastAsia" w:hAnsiTheme="minorEastAsia" w:cstheme="minorEastAsia"/>
                <w:b/>
                <w:bCs/>
                <w:sz w:val="24"/>
                <w:shd w:val="clear" w:color="auto" w:fill="FDFDFC"/>
              </w:rPr>
            </w:pPr>
            <w:r>
              <w:rPr>
                <w:rFonts w:hint="eastAsia" w:asciiTheme="minorEastAsia" w:hAnsiTheme="minorEastAsia" w:cstheme="minorEastAsia"/>
                <w:b/>
                <w:bCs/>
                <w:sz w:val="24"/>
                <w:shd w:val="clear" w:color="auto" w:fill="9CC2E5" w:themeFill="accent1" w:themeFillTint="99"/>
              </w:rPr>
              <w:t>资产</w:t>
            </w:r>
          </w:p>
        </w:tc>
        <w:tc>
          <w:tcPr>
            <w:tcW w:w="69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themeFill="accent1" w:themeFillTint="99"/>
            <w:vAlign w:val="center"/>
          </w:tcPr>
          <w:p>
            <w:pPr>
              <w:spacing w:line="460" w:lineRule="exact"/>
              <w:ind w:firstLine="480" w:firstLineChars="200"/>
              <w:rPr>
                <w:rFonts w:asciiTheme="minorEastAsia" w:hAnsiTheme="minorEastAsia" w:cstheme="minorEastAsia"/>
                <w:sz w:val="24"/>
                <w:shd w:val="clear" w:color="auto" w:fill="FDFDFC"/>
              </w:rPr>
            </w:pPr>
            <w:r>
              <w:rPr>
                <w:rFonts w:hint="eastAsia" w:asciiTheme="minorEastAsia" w:hAnsiTheme="minorEastAsia" w:cstheme="minorEastAsia"/>
                <w:sz w:val="24"/>
                <w:shd w:val="clear" w:color="auto" w:fill="9CC2E5" w:themeFill="accent1" w:themeFillTint="99"/>
              </w:rPr>
              <w:t>2019年初学校资产余额为：96,300,965.40元，其中流动资产47,737,583.48元、固定资产28,703,381.92元、无形资产19,860,000.00元。</w:t>
            </w:r>
          </w:p>
          <w:p>
            <w:pPr>
              <w:spacing w:line="460" w:lineRule="exact"/>
              <w:ind w:firstLine="480" w:firstLineChars="200"/>
              <w:rPr>
                <w:rFonts w:asciiTheme="minorEastAsia" w:hAnsiTheme="minorEastAsia" w:cstheme="minorEastAsia"/>
                <w:sz w:val="24"/>
                <w:shd w:val="clear" w:color="auto" w:fill="FDFDFC"/>
              </w:rPr>
            </w:pPr>
            <w:r>
              <w:rPr>
                <w:rFonts w:hint="eastAsia" w:asciiTheme="minorEastAsia" w:hAnsiTheme="minorEastAsia" w:cstheme="minorEastAsia"/>
                <w:sz w:val="24"/>
                <w:shd w:val="clear" w:color="auto" w:fill="9CC2E5" w:themeFill="accent1" w:themeFillTint="99"/>
              </w:rPr>
              <w:t>2019年12月底，年末资产余额为：82,081,590.54元，其中流动资产23,511,921.77元、固定资产净额16,874,131.82元、无形资产净额17,645,249.95元。</w:t>
            </w:r>
          </w:p>
        </w:tc>
      </w:tr>
    </w:tbl>
    <w:p>
      <w:pPr>
        <w:pStyle w:val="4"/>
        <w:spacing w:before="156" w:after="156" w:line="500" w:lineRule="exact"/>
        <w:ind w:firstLine="723"/>
        <w:jc w:val="both"/>
        <w:rPr>
          <w:rFonts w:hint="default"/>
        </w:rPr>
      </w:pPr>
      <w:bookmarkStart w:id="14" w:name="_Toc30674"/>
      <w:bookmarkStart w:id="15" w:name="_Toc20941"/>
      <w:bookmarkStart w:id="16" w:name="_Toc9114"/>
      <w:bookmarkStart w:id="17" w:name="_Toc22675"/>
      <w:r>
        <w:t>1.2学生情况</w:t>
      </w:r>
      <w:bookmarkEnd w:id="14"/>
      <w:bookmarkEnd w:id="15"/>
      <w:bookmarkEnd w:id="16"/>
      <w:bookmarkEnd w:id="17"/>
    </w:p>
    <w:p>
      <w:pPr>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1.2.1学生规模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学校现有中职全日制在校生3794人，同比增长14.1%，2019年招生1606人，较上年增长18.8%，2019年毕业生9</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人，比2018年多1</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人，增加了</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%。我校近两年招生人数、在校生人数和毕业生人数如下表所示：</w:t>
      </w:r>
    </w:p>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表1：学生规模表</w:t>
      </w:r>
    </w:p>
    <w:tbl>
      <w:tblPr>
        <w:tblStyle w:val="13"/>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2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年份</w:t>
            </w:r>
          </w:p>
        </w:tc>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招生人数(人)</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在校生人数(人)</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毕业生人数(人)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2019</w:t>
            </w:r>
          </w:p>
        </w:tc>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500" w:lineRule="exact"/>
              <w:jc w:val="center"/>
              <w:rPr>
                <w:rFonts w:asciiTheme="minorEastAsia" w:hAnsiTheme="minorEastAsia" w:cstheme="minorEastAsia"/>
                <w:sz w:val="24"/>
              </w:rPr>
            </w:pPr>
            <w:r>
              <w:rPr>
                <w:rFonts w:hint="eastAsia" w:ascii="宋体" w:hAnsi="宋体" w:cs="宋体"/>
                <w:sz w:val="24"/>
              </w:rPr>
              <w:t>1606</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500" w:lineRule="exact"/>
              <w:jc w:val="center"/>
              <w:rPr>
                <w:rFonts w:asciiTheme="minorEastAsia" w:hAnsiTheme="minorEastAsia" w:cstheme="minorEastAsia"/>
                <w:sz w:val="24"/>
              </w:rPr>
            </w:pPr>
            <w:r>
              <w:rPr>
                <w:rFonts w:hint="eastAsia" w:ascii="宋体" w:hAnsi="宋体" w:cs="宋体"/>
                <w:sz w:val="24"/>
              </w:rPr>
              <w:t>3794</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500" w:lineRule="exact"/>
              <w:jc w:val="center"/>
              <w:rPr>
                <w:rFonts w:asciiTheme="minorEastAsia" w:hAnsiTheme="minorEastAsia" w:cstheme="minorEastAsia"/>
                <w:sz w:val="24"/>
              </w:rPr>
            </w:pPr>
            <w:r>
              <w:rPr>
                <w:rFonts w:hint="eastAsia" w:ascii="宋体" w:hAnsi="宋体" w:cs="宋体"/>
                <w:sz w:val="24"/>
              </w:rPr>
              <w:t>9</w:t>
            </w:r>
            <w:r>
              <w:rPr>
                <w:rFonts w:ascii="宋体" w:hAnsi="宋体" w:cs="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2018</w:t>
            </w:r>
          </w:p>
        </w:tc>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500" w:lineRule="exact"/>
              <w:jc w:val="center"/>
              <w:rPr>
                <w:rFonts w:asciiTheme="minorEastAsia" w:hAnsiTheme="minorEastAsia" w:cstheme="minorEastAsia"/>
                <w:sz w:val="24"/>
              </w:rPr>
            </w:pPr>
            <w:r>
              <w:rPr>
                <w:rFonts w:hint="eastAsia" w:ascii="宋体" w:hAnsi="宋体" w:cs="宋体"/>
                <w:sz w:val="24"/>
              </w:rPr>
              <w:t>1351</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500" w:lineRule="exact"/>
              <w:jc w:val="center"/>
              <w:rPr>
                <w:rFonts w:asciiTheme="minorEastAsia" w:hAnsiTheme="minorEastAsia" w:cstheme="minorEastAsia"/>
                <w:sz w:val="24"/>
              </w:rPr>
            </w:pPr>
            <w:r>
              <w:rPr>
                <w:rFonts w:hint="eastAsia" w:ascii="宋体" w:hAnsi="宋体" w:cs="宋体"/>
                <w:sz w:val="24"/>
              </w:rPr>
              <w:t>3324</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500" w:lineRule="exact"/>
              <w:jc w:val="center"/>
              <w:rPr>
                <w:rFonts w:asciiTheme="minorEastAsia" w:hAnsiTheme="minorEastAsia" w:cstheme="minorEastAsia"/>
                <w:sz w:val="24"/>
              </w:rPr>
            </w:pPr>
            <w:r>
              <w:rPr>
                <w:rFonts w:hint="eastAsia" w:ascii="宋体" w:hAnsi="宋体" w:cs="宋体"/>
                <w:sz w:val="24"/>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增长率</w:t>
            </w:r>
          </w:p>
        </w:tc>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18.8%</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14.1%</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500" w:lineRule="exact"/>
              <w:jc w:val="center"/>
              <w:rPr>
                <w:rFonts w:asciiTheme="minorEastAsia" w:hAnsiTheme="minorEastAsia" w:cstheme="minorEastAsia"/>
                <w:sz w:val="24"/>
              </w:rPr>
            </w:pPr>
            <w:r>
              <w:rPr>
                <w:rFonts w:asciiTheme="minorEastAsia" w:hAnsiTheme="minorEastAsia" w:cstheme="minorEastAsia"/>
                <w:sz w:val="24"/>
              </w:rPr>
              <w:t>23</w:t>
            </w:r>
            <w:r>
              <w:rPr>
                <w:rFonts w:hint="eastAsia" w:asciiTheme="minorEastAsia" w:hAnsiTheme="minorEastAsia" w:cstheme="minorEastAsia"/>
                <w:sz w:val="24"/>
              </w:rPr>
              <w:t>.</w:t>
            </w:r>
            <w:r>
              <w:rPr>
                <w:rFonts w:asciiTheme="minorEastAsia" w:hAnsiTheme="minorEastAsia" w:cstheme="minorEastAsia"/>
                <w:sz w:val="24"/>
              </w:rPr>
              <w:t>5</w:t>
            </w:r>
            <w:r>
              <w:rPr>
                <w:rFonts w:hint="eastAsia" w:asciiTheme="minorEastAsia" w:hAnsiTheme="minorEastAsia" w:cstheme="minorEastAsia"/>
                <w:sz w:val="24"/>
              </w:rPr>
              <w:t>%</w:t>
            </w:r>
          </w:p>
        </w:tc>
      </w:tr>
    </w:tbl>
    <w:p>
      <w:pPr>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1.2.2学生结构</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一是专业结构。</w:t>
      </w:r>
      <w:r>
        <w:rPr>
          <w:rFonts w:hint="eastAsia" w:ascii="仿宋_GB2312" w:hAnsi="仿宋_GB2312" w:eastAsia="仿宋_GB2312" w:cs="仿宋_GB2312"/>
          <w:sz w:val="32"/>
          <w:szCs w:val="32"/>
        </w:rPr>
        <w:t>2019—2020学年我校共有15个专业，19高级模具制造专业为五年制，其他专业学制均为三年，其中学前教育专业855人，会计专业265人，模具制造专业599人，电子商务专业456人，计算机动画专业131人，计算机应用与维修专业313人，汽车修理专业497人，机电产品检测技术与维修专业155人，数控加工专业186人，无人机专业19人，茶艺专业20人。各专业人数及人数变化情况见下表：</w:t>
      </w:r>
    </w:p>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表2：学生专业结构人数表</w:t>
      </w:r>
    </w:p>
    <w:tbl>
      <w:tblPr>
        <w:tblStyle w:val="13"/>
        <w:tblW w:w="8146" w:type="dxa"/>
        <w:jc w:val="center"/>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2319"/>
        <w:gridCol w:w="1785"/>
        <w:gridCol w:w="1814"/>
        <w:gridCol w:w="2228"/>
      </w:tblGrid>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691" w:hRule="atLeast"/>
          <w:jc w:val="center"/>
        </w:trPr>
        <w:tc>
          <w:tcPr>
            <w:tcW w:w="2319" w:type="dxa"/>
            <w:tcBorders>
              <w:tl2br w:val="nil"/>
              <w:tr2bl w:val="nil"/>
            </w:tcBorders>
            <w:shd w:val="clear" w:color="auto" w:fill="5B9BD5"/>
            <w:vAlign w:val="center"/>
          </w:tcPr>
          <w:p>
            <w:pPr>
              <w:spacing w:line="360" w:lineRule="auto"/>
              <w:jc w:val="center"/>
              <w:rPr>
                <w:rFonts w:ascii="宋体" w:hAnsi="宋体" w:cs="宋体"/>
                <w:b/>
                <w:bCs/>
                <w:sz w:val="24"/>
              </w:rPr>
            </w:pPr>
            <w:r>
              <w:rPr>
                <w:rFonts w:hint="eastAsia" w:ascii="宋体" w:hAnsi="宋体" w:cs="宋体"/>
                <w:b/>
                <w:bCs/>
                <w:sz w:val="24"/>
              </w:rPr>
              <w:t>专业</w:t>
            </w:r>
          </w:p>
        </w:tc>
        <w:tc>
          <w:tcPr>
            <w:tcW w:w="1785" w:type="dxa"/>
            <w:tcBorders>
              <w:tl2br w:val="nil"/>
              <w:tr2bl w:val="nil"/>
            </w:tcBorders>
            <w:shd w:val="clear" w:color="auto" w:fill="5B9BD5"/>
            <w:vAlign w:val="center"/>
          </w:tcPr>
          <w:p>
            <w:pPr>
              <w:spacing w:line="360" w:lineRule="auto"/>
              <w:jc w:val="center"/>
              <w:rPr>
                <w:rFonts w:ascii="宋体" w:hAnsi="宋体" w:cs="宋体"/>
                <w:b/>
                <w:bCs/>
                <w:sz w:val="24"/>
              </w:rPr>
            </w:pPr>
            <w:r>
              <w:rPr>
                <w:rFonts w:hint="eastAsia" w:ascii="宋体" w:hAnsi="宋体" w:cs="宋体"/>
                <w:b/>
                <w:bCs/>
                <w:sz w:val="24"/>
              </w:rPr>
              <w:t>2018年人数</w:t>
            </w:r>
          </w:p>
        </w:tc>
        <w:tc>
          <w:tcPr>
            <w:tcW w:w="1814" w:type="dxa"/>
            <w:tcBorders>
              <w:tl2br w:val="nil"/>
              <w:tr2bl w:val="nil"/>
            </w:tcBorders>
            <w:shd w:val="clear" w:color="auto" w:fill="5B9BD5"/>
            <w:vAlign w:val="center"/>
          </w:tcPr>
          <w:p>
            <w:pPr>
              <w:spacing w:line="360" w:lineRule="auto"/>
              <w:jc w:val="center"/>
              <w:rPr>
                <w:rFonts w:ascii="宋体" w:hAnsi="宋体" w:cs="宋体"/>
                <w:b/>
                <w:bCs/>
                <w:sz w:val="24"/>
              </w:rPr>
            </w:pPr>
            <w:r>
              <w:rPr>
                <w:rFonts w:hint="eastAsia" w:ascii="宋体" w:hAnsi="宋体" w:cs="宋体"/>
                <w:b/>
                <w:bCs/>
                <w:sz w:val="24"/>
              </w:rPr>
              <w:t>2019年人数</w:t>
            </w:r>
          </w:p>
        </w:tc>
        <w:tc>
          <w:tcPr>
            <w:tcW w:w="2228" w:type="dxa"/>
            <w:tcBorders>
              <w:tl2br w:val="nil"/>
              <w:tr2bl w:val="nil"/>
            </w:tcBorders>
            <w:shd w:val="clear" w:color="auto" w:fill="5B9BD5"/>
            <w:vAlign w:val="center"/>
          </w:tcPr>
          <w:p>
            <w:pPr>
              <w:spacing w:line="360" w:lineRule="auto"/>
              <w:jc w:val="center"/>
              <w:rPr>
                <w:rFonts w:ascii="宋体" w:hAnsi="宋体" w:cs="宋体"/>
                <w:b/>
                <w:bCs/>
                <w:sz w:val="24"/>
              </w:rPr>
            </w:pPr>
            <w:r>
              <w:rPr>
                <w:rFonts w:hint="eastAsia" w:ascii="宋体" w:hAnsi="宋体" w:cs="宋体"/>
                <w:b/>
                <w:bCs/>
                <w:sz w:val="24"/>
              </w:rPr>
              <w:t>增长或降低率（%）</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F1F1F1"/>
            <w:vAlign w:val="center"/>
          </w:tcPr>
          <w:p>
            <w:pPr>
              <w:spacing w:line="360" w:lineRule="auto"/>
              <w:jc w:val="center"/>
              <w:rPr>
                <w:rFonts w:ascii="宋体" w:hAnsi="宋体" w:cs="宋体"/>
                <w:b/>
                <w:bCs/>
                <w:sz w:val="24"/>
              </w:rPr>
            </w:pPr>
            <w:r>
              <w:rPr>
                <w:rFonts w:hint="eastAsia" w:ascii="宋体" w:hAnsi="宋体" w:cs="宋体"/>
                <w:b/>
                <w:bCs/>
                <w:sz w:val="24"/>
              </w:rPr>
              <w:t>幼儿教育</w:t>
            </w:r>
          </w:p>
        </w:tc>
        <w:tc>
          <w:tcPr>
            <w:tcW w:w="1785"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848</w:t>
            </w:r>
          </w:p>
        </w:tc>
        <w:tc>
          <w:tcPr>
            <w:tcW w:w="1814"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855</w:t>
            </w:r>
          </w:p>
        </w:tc>
        <w:tc>
          <w:tcPr>
            <w:tcW w:w="2228"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0.8%</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9CC2E5"/>
            <w:vAlign w:val="center"/>
          </w:tcPr>
          <w:p>
            <w:pPr>
              <w:spacing w:line="360" w:lineRule="auto"/>
              <w:jc w:val="center"/>
              <w:rPr>
                <w:rFonts w:ascii="宋体" w:hAnsi="宋体" w:cs="宋体"/>
                <w:b/>
                <w:bCs/>
                <w:sz w:val="24"/>
              </w:rPr>
            </w:pPr>
            <w:r>
              <w:rPr>
                <w:rFonts w:hint="eastAsia" w:ascii="宋体" w:hAnsi="宋体" w:cs="宋体"/>
                <w:b/>
                <w:bCs/>
                <w:sz w:val="24"/>
              </w:rPr>
              <w:t>会计</w:t>
            </w:r>
          </w:p>
        </w:tc>
        <w:tc>
          <w:tcPr>
            <w:tcW w:w="1785"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261</w:t>
            </w:r>
          </w:p>
        </w:tc>
        <w:tc>
          <w:tcPr>
            <w:tcW w:w="1814"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265</w:t>
            </w:r>
          </w:p>
        </w:tc>
        <w:tc>
          <w:tcPr>
            <w:tcW w:w="2228"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1.5%</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56" w:hRule="atLeast"/>
          <w:jc w:val="center"/>
        </w:trPr>
        <w:tc>
          <w:tcPr>
            <w:tcW w:w="2319" w:type="dxa"/>
            <w:tcBorders>
              <w:tl2br w:val="nil"/>
              <w:tr2bl w:val="nil"/>
            </w:tcBorders>
            <w:shd w:val="clear" w:color="auto" w:fill="F1F1F1"/>
            <w:vAlign w:val="center"/>
          </w:tcPr>
          <w:p>
            <w:pPr>
              <w:spacing w:line="360" w:lineRule="auto"/>
              <w:jc w:val="center"/>
              <w:rPr>
                <w:rFonts w:ascii="宋体" w:hAnsi="宋体" w:cs="宋体"/>
                <w:b/>
                <w:bCs/>
                <w:sz w:val="24"/>
              </w:rPr>
            </w:pPr>
            <w:r>
              <w:rPr>
                <w:rFonts w:hint="eastAsia" w:ascii="宋体" w:hAnsi="宋体" w:cs="宋体"/>
                <w:b/>
                <w:bCs/>
                <w:sz w:val="24"/>
              </w:rPr>
              <w:t>汽车修理</w:t>
            </w:r>
          </w:p>
        </w:tc>
        <w:tc>
          <w:tcPr>
            <w:tcW w:w="1785"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380</w:t>
            </w:r>
          </w:p>
        </w:tc>
        <w:tc>
          <w:tcPr>
            <w:tcW w:w="1814"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497</w:t>
            </w:r>
          </w:p>
        </w:tc>
        <w:tc>
          <w:tcPr>
            <w:tcW w:w="2228"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30.8%</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9CC2E5"/>
            <w:vAlign w:val="center"/>
          </w:tcPr>
          <w:p>
            <w:pPr>
              <w:spacing w:line="360" w:lineRule="auto"/>
              <w:jc w:val="center"/>
              <w:rPr>
                <w:rFonts w:ascii="宋体" w:hAnsi="宋体" w:cs="宋体"/>
                <w:b/>
                <w:bCs/>
                <w:sz w:val="24"/>
              </w:rPr>
            </w:pPr>
            <w:r>
              <w:rPr>
                <w:rFonts w:hint="eastAsia" w:ascii="宋体" w:hAnsi="宋体" w:cs="宋体"/>
                <w:b/>
                <w:bCs/>
                <w:sz w:val="24"/>
              </w:rPr>
              <w:t>模具制造</w:t>
            </w:r>
          </w:p>
        </w:tc>
        <w:tc>
          <w:tcPr>
            <w:tcW w:w="1785"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521</w:t>
            </w:r>
          </w:p>
        </w:tc>
        <w:tc>
          <w:tcPr>
            <w:tcW w:w="1814"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599</w:t>
            </w:r>
          </w:p>
        </w:tc>
        <w:tc>
          <w:tcPr>
            <w:tcW w:w="2228"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15%</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86" w:hRule="atLeast"/>
          <w:jc w:val="center"/>
        </w:trPr>
        <w:tc>
          <w:tcPr>
            <w:tcW w:w="2319" w:type="dxa"/>
            <w:tcBorders>
              <w:tl2br w:val="nil"/>
              <w:tr2bl w:val="nil"/>
            </w:tcBorders>
            <w:shd w:val="clear" w:color="auto" w:fill="F1F1F1"/>
            <w:vAlign w:val="center"/>
          </w:tcPr>
          <w:p>
            <w:pPr>
              <w:spacing w:line="360" w:lineRule="auto"/>
              <w:jc w:val="center"/>
              <w:rPr>
                <w:rFonts w:ascii="宋体" w:hAnsi="宋体" w:cs="宋体"/>
                <w:b/>
                <w:bCs/>
                <w:sz w:val="24"/>
              </w:rPr>
            </w:pPr>
            <w:r>
              <w:rPr>
                <w:rFonts w:hint="eastAsia" w:ascii="宋体" w:hAnsi="宋体" w:cs="宋体"/>
                <w:b/>
                <w:bCs/>
                <w:sz w:val="24"/>
              </w:rPr>
              <w:t>数控加工</w:t>
            </w:r>
          </w:p>
        </w:tc>
        <w:tc>
          <w:tcPr>
            <w:tcW w:w="1785"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178</w:t>
            </w:r>
          </w:p>
        </w:tc>
        <w:tc>
          <w:tcPr>
            <w:tcW w:w="1814"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186</w:t>
            </w:r>
          </w:p>
        </w:tc>
        <w:tc>
          <w:tcPr>
            <w:tcW w:w="2228"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4.5%</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9CC2E5"/>
            <w:vAlign w:val="center"/>
          </w:tcPr>
          <w:p>
            <w:pPr>
              <w:spacing w:line="360" w:lineRule="auto"/>
              <w:ind w:left="723" w:hanging="723" w:hangingChars="300"/>
              <w:jc w:val="center"/>
              <w:rPr>
                <w:rFonts w:ascii="宋体" w:hAnsi="宋体" w:cs="宋体"/>
                <w:b/>
                <w:bCs/>
                <w:sz w:val="24"/>
              </w:rPr>
            </w:pPr>
            <w:r>
              <w:rPr>
                <w:rFonts w:hint="eastAsia" w:ascii="宋体" w:hAnsi="宋体" w:cs="宋体"/>
                <w:b/>
                <w:bCs/>
                <w:sz w:val="24"/>
              </w:rPr>
              <w:t>计算机应用与维修</w:t>
            </w:r>
          </w:p>
        </w:tc>
        <w:tc>
          <w:tcPr>
            <w:tcW w:w="1785"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310</w:t>
            </w:r>
          </w:p>
        </w:tc>
        <w:tc>
          <w:tcPr>
            <w:tcW w:w="1814"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313</w:t>
            </w:r>
          </w:p>
        </w:tc>
        <w:tc>
          <w:tcPr>
            <w:tcW w:w="2228"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F1F1F1"/>
            <w:vAlign w:val="center"/>
          </w:tcPr>
          <w:p>
            <w:pPr>
              <w:spacing w:line="360" w:lineRule="auto"/>
              <w:jc w:val="center"/>
              <w:rPr>
                <w:rFonts w:ascii="宋体" w:hAnsi="宋体" w:cs="宋体"/>
                <w:b/>
                <w:bCs/>
                <w:sz w:val="24"/>
              </w:rPr>
            </w:pPr>
            <w:r>
              <w:rPr>
                <w:rFonts w:hint="eastAsia" w:ascii="宋体" w:hAnsi="宋体" w:cs="宋体"/>
                <w:b/>
                <w:bCs/>
                <w:sz w:val="24"/>
              </w:rPr>
              <w:t>电子商务</w:t>
            </w:r>
          </w:p>
        </w:tc>
        <w:tc>
          <w:tcPr>
            <w:tcW w:w="1785"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431</w:t>
            </w:r>
          </w:p>
        </w:tc>
        <w:tc>
          <w:tcPr>
            <w:tcW w:w="1814"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456</w:t>
            </w:r>
          </w:p>
        </w:tc>
        <w:tc>
          <w:tcPr>
            <w:tcW w:w="2228"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5.8%</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654" w:hRule="atLeast"/>
          <w:jc w:val="center"/>
        </w:trPr>
        <w:tc>
          <w:tcPr>
            <w:tcW w:w="2319" w:type="dxa"/>
            <w:tcBorders>
              <w:tl2br w:val="nil"/>
              <w:tr2bl w:val="nil"/>
            </w:tcBorders>
            <w:shd w:val="clear" w:color="auto" w:fill="9CC2E5"/>
            <w:vAlign w:val="center"/>
          </w:tcPr>
          <w:p>
            <w:pPr>
              <w:jc w:val="center"/>
              <w:rPr>
                <w:rFonts w:ascii="宋体" w:hAnsi="宋体" w:cs="宋体"/>
                <w:b/>
                <w:bCs/>
                <w:sz w:val="24"/>
              </w:rPr>
            </w:pPr>
            <w:r>
              <w:rPr>
                <w:rFonts w:hint="eastAsia" w:ascii="宋体" w:hAnsi="宋体" w:cs="宋体"/>
                <w:b/>
                <w:bCs/>
                <w:sz w:val="24"/>
              </w:rPr>
              <w:t>电气自动</w:t>
            </w:r>
            <w:r>
              <w:rPr>
                <w:rFonts w:ascii="宋体" w:hAnsi="宋体" w:cs="宋体"/>
                <w:b/>
                <w:bCs/>
                <w:sz w:val="24"/>
              </w:rPr>
              <w:t>化设备安装</w:t>
            </w:r>
            <w:r>
              <w:rPr>
                <w:rFonts w:hint="eastAsia" w:ascii="宋体" w:hAnsi="宋体" w:cs="宋体"/>
                <w:b/>
                <w:bCs/>
                <w:sz w:val="24"/>
              </w:rPr>
              <w:t>与维修</w:t>
            </w:r>
          </w:p>
        </w:tc>
        <w:tc>
          <w:tcPr>
            <w:tcW w:w="1785"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169</w:t>
            </w:r>
          </w:p>
        </w:tc>
        <w:tc>
          <w:tcPr>
            <w:tcW w:w="1814"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155</w:t>
            </w:r>
          </w:p>
        </w:tc>
        <w:tc>
          <w:tcPr>
            <w:tcW w:w="2228"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-9.2%</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F1F1F1"/>
            <w:vAlign w:val="center"/>
          </w:tcPr>
          <w:p>
            <w:pPr>
              <w:spacing w:line="360" w:lineRule="auto"/>
              <w:jc w:val="center"/>
              <w:rPr>
                <w:rFonts w:ascii="宋体" w:hAnsi="宋体" w:cs="宋体"/>
                <w:b/>
                <w:bCs/>
                <w:sz w:val="24"/>
              </w:rPr>
            </w:pPr>
            <w:r>
              <w:rPr>
                <w:rFonts w:hint="eastAsia" w:ascii="宋体" w:hAnsi="宋体" w:cs="宋体"/>
                <w:b/>
                <w:bCs/>
                <w:sz w:val="24"/>
              </w:rPr>
              <w:t>动画制作</w:t>
            </w:r>
          </w:p>
        </w:tc>
        <w:tc>
          <w:tcPr>
            <w:tcW w:w="1785"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128</w:t>
            </w:r>
          </w:p>
        </w:tc>
        <w:tc>
          <w:tcPr>
            <w:tcW w:w="1814"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131</w:t>
            </w:r>
          </w:p>
        </w:tc>
        <w:tc>
          <w:tcPr>
            <w:tcW w:w="2228"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2.3%</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9CC2E5"/>
            <w:vAlign w:val="center"/>
          </w:tcPr>
          <w:p>
            <w:pPr>
              <w:spacing w:line="360" w:lineRule="auto"/>
              <w:jc w:val="center"/>
              <w:rPr>
                <w:rFonts w:ascii="宋体" w:hAnsi="宋体" w:cs="宋体"/>
                <w:b/>
                <w:bCs/>
                <w:sz w:val="24"/>
              </w:rPr>
            </w:pPr>
            <w:r>
              <w:rPr>
                <w:rFonts w:hint="eastAsia" w:ascii="宋体" w:hAnsi="宋体" w:cs="宋体"/>
                <w:b/>
                <w:bCs/>
                <w:sz w:val="24"/>
              </w:rPr>
              <w:t>无人机</w:t>
            </w:r>
          </w:p>
        </w:tc>
        <w:tc>
          <w:tcPr>
            <w:tcW w:w="1785"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19</w:t>
            </w:r>
          </w:p>
        </w:tc>
        <w:tc>
          <w:tcPr>
            <w:tcW w:w="1814"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19</w:t>
            </w:r>
          </w:p>
        </w:tc>
        <w:tc>
          <w:tcPr>
            <w:tcW w:w="2228"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0</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68" w:hRule="atLeast"/>
          <w:jc w:val="center"/>
        </w:trPr>
        <w:tc>
          <w:tcPr>
            <w:tcW w:w="2319" w:type="dxa"/>
            <w:tcBorders>
              <w:tl2br w:val="nil"/>
              <w:tr2bl w:val="nil"/>
            </w:tcBorders>
            <w:shd w:val="clear" w:color="auto" w:fill="F1F1F1"/>
            <w:vAlign w:val="center"/>
          </w:tcPr>
          <w:p>
            <w:pPr>
              <w:spacing w:line="360" w:lineRule="auto"/>
              <w:jc w:val="center"/>
              <w:rPr>
                <w:rFonts w:ascii="宋体" w:hAnsi="宋体" w:cs="宋体"/>
                <w:b/>
                <w:bCs/>
                <w:sz w:val="24"/>
              </w:rPr>
            </w:pPr>
            <w:r>
              <w:rPr>
                <w:rFonts w:hint="eastAsia" w:ascii="宋体" w:hAnsi="宋体" w:cs="宋体"/>
                <w:b/>
                <w:bCs/>
                <w:sz w:val="24"/>
              </w:rPr>
              <w:t>茶艺</w:t>
            </w:r>
          </w:p>
        </w:tc>
        <w:tc>
          <w:tcPr>
            <w:tcW w:w="1785"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21</w:t>
            </w:r>
          </w:p>
        </w:tc>
        <w:tc>
          <w:tcPr>
            <w:tcW w:w="1814"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20</w:t>
            </w:r>
          </w:p>
        </w:tc>
        <w:tc>
          <w:tcPr>
            <w:tcW w:w="2228"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-4.8%</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9CC2E5"/>
            <w:vAlign w:val="center"/>
          </w:tcPr>
          <w:p>
            <w:pPr>
              <w:spacing w:line="360" w:lineRule="auto"/>
              <w:jc w:val="center"/>
              <w:rPr>
                <w:rFonts w:ascii="宋体" w:hAnsi="宋体" w:cs="宋体"/>
                <w:b/>
                <w:bCs/>
                <w:sz w:val="24"/>
              </w:rPr>
            </w:pPr>
            <w:r>
              <w:rPr>
                <w:rFonts w:hint="eastAsia" w:ascii="宋体" w:hAnsi="宋体" w:cs="宋体"/>
                <w:b/>
                <w:bCs/>
                <w:sz w:val="24"/>
              </w:rPr>
              <w:t>室内设计</w:t>
            </w:r>
          </w:p>
        </w:tc>
        <w:tc>
          <w:tcPr>
            <w:tcW w:w="1785"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59</w:t>
            </w:r>
          </w:p>
        </w:tc>
        <w:tc>
          <w:tcPr>
            <w:tcW w:w="1814"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154</w:t>
            </w:r>
          </w:p>
        </w:tc>
        <w:tc>
          <w:tcPr>
            <w:tcW w:w="2228"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161%</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F1F1F1"/>
            <w:vAlign w:val="center"/>
          </w:tcPr>
          <w:p>
            <w:pPr>
              <w:spacing w:line="360" w:lineRule="auto"/>
              <w:jc w:val="center"/>
              <w:rPr>
                <w:rFonts w:ascii="宋体" w:hAnsi="宋体" w:eastAsia="宋体" w:cs="宋体"/>
                <w:b/>
                <w:bCs/>
                <w:sz w:val="24"/>
              </w:rPr>
            </w:pPr>
            <w:r>
              <w:rPr>
                <w:rFonts w:hint="eastAsia" w:ascii="宋体" w:hAnsi="宋体" w:cs="宋体"/>
                <w:b/>
                <w:bCs/>
                <w:sz w:val="24"/>
              </w:rPr>
              <w:t>平面设计</w:t>
            </w:r>
          </w:p>
        </w:tc>
        <w:tc>
          <w:tcPr>
            <w:tcW w:w="1785"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0</w:t>
            </w:r>
          </w:p>
        </w:tc>
        <w:tc>
          <w:tcPr>
            <w:tcW w:w="1814"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56</w:t>
            </w:r>
          </w:p>
        </w:tc>
        <w:tc>
          <w:tcPr>
            <w:tcW w:w="2228"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100%</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9CC2E5"/>
            <w:vAlign w:val="center"/>
          </w:tcPr>
          <w:p>
            <w:pPr>
              <w:spacing w:line="360" w:lineRule="auto"/>
              <w:jc w:val="center"/>
              <w:rPr>
                <w:rFonts w:ascii="宋体" w:hAnsi="宋体" w:eastAsia="宋体" w:cs="宋体"/>
                <w:b/>
                <w:bCs/>
                <w:sz w:val="24"/>
              </w:rPr>
            </w:pPr>
            <w:r>
              <w:rPr>
                <w:rFonts w:hint="eastAsia" w:ascii="宋体" w:hAnsi="宋体" w:cs="宋体"/>
                <w:b/>
                <w:bCs/>
                <w:sz w:val="24"/>
              </w:rPr>
              <w:t>旅游服务</w:t>
            </w:r>
          </w:p>
        </w:tc>
        <w:tc>
          <w:tcPr>
            <w:tcW w:w="1785"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0</w:t>
            </w:r>
          </w:p>
        </w:tc>
        <w:tc>
          <w:tcPr>
            <w:tcW w:w="1814" w:type="dxa"/>
            <w:tcBorders>
              <w:tl2br w:val="nil"/>
              <w:tr2bl w:val="nil"/>
            </w:tcBorders>
            <w:shd w:val="clear" w:color="auto" w:fill="9CC2E5"/>
            <w:vAlign w:val="center"/>
          </w:tcPr>
          <w:p>
            <w:pPr>
              <w:spacing w:line="360" w:lineRule="auto"/>
              <w:jc w:val="center"/>
              <w:rPr>
                <w:rFonts w:ascii="宋体" w:hAnsi="宋体" w:cs="宋体"/>
                <w:sz w:val="24"/>
              </w:rPr>
            </w:pPr>
            <w:r>
              <w:rPr>
                <w:rFonts w:hint="eastAsia" w:ascii="宋体" w:hAnsi="宋体" w:cs="宋体"/>
                <w:sz w:val="24"/>
              </w:rPr>
              <w:t>36</w:t>
            </w:r>
          </w:p>
        </w:tc>
        <w:tc>
          <w:tcPr>
            <w:tcW w:w="2228" w:type="dxa"/>
            <w:tcBorders>
              <w:tl2br w:val="nil"/>
              <w:tr2bl w:val="nil"/>
            </w:tcBorders>
            <w:shd w:val="clear" w:color="auto" w:fill="9CC2E5"/>
            <w:vAlign w:val="center"/>
          </w:tcPr>
          <w:p>
            <w:pPr>
              <w:spacing w:line="360" w:lineRule="auto"/>
              <w:jc w:val="center"/>
              <w:rPr>
                <w:rFonts w:ascii="宋体" w:hAnsi="宋体" w:eastAsia="宋体" w:cs="宋体"/>
                <w:sz w:val="24"/>
              </w:rPr>
            </w:pPr>
            <w:r>
              <w:rPr>
                <w:rFonts w:hint="eastAsia" w:ascii="宋体" w:hAnsi="宋体" w:cs="宋体"/>
                <w:sz w:val="24"/>
              </w:rPr>
              <w:t>100%</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71" w:hRule="atLeast"/>
          <w:jc w:val="center"/>
        </w:trPr>
        <w:tc>
          <w:tcPr>
            <w:tcW w:w="2319" w:type="dxa"/>
            <w:tcBorders>
              <w:tl2br w:val="nil"/>
              <w:tr2bl w:val="nil"/>
            </w:tcBorders>
            <w:shd w:val="clear" w:color="auto" w:fill="F1F1F1"/>
            <w:vAlign w:val="center"/>
          </w:tcPr>
          <w:p>
            <w:pPr>
              <w:spacing w:line="360" w:lineRule="auto"/>
              <w:jc w:val="center"/>
              <w:rPr>
                <w:rFonts w:ascii="宋体" w:hAnsi="宋体" w:cs="宋体"/>
                <w:b/>
                <w:bCs/>
                <w:sz w:val="24"/>
              </w:rPr>
            </w:pPr>
            <w:r>
              <w:rPr>
                <w:rFonts w:hint="eastAsia" w:ascii="宋体" w:hAnsi="宋体" w:cs="宋体"/>
                <w:b/>
                <w:bCs/>
                <w:sz w:val="24"/>
              </w:rPr>
              <w:t>美容美发</w:t>
            </w:r>
          </w:p>
        </w:tc>
        <w:tc>
          <w:tcPr>
            <w:tcW w:w="1785"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0</w:t>
            </w:r>
          </w:p>
        </w:tc>
        <w:tc>
          <w:tcPr>
            <w:tcW w:w="1814" w:type="dxa"/>
            <w:tcBorders>
              <w:tl2br w:val="nil"/>
              <w:tr2bl w:val="nil"/>
            </w:tcBorders>
            <w:shd w:val="clear" w:color="auto" w:fill="F1F1F1"/>
            <w:vAlign w:val="center"/>
          </w:tcPr>
          <w:p>
            <w:pPr>
              <w:spacing w:line="360" w:lineRule="auto"/>
              <w:jc w:val="center"/>
              <w:rPr>
                <w:rFonts w:ascii="宋体" w:hAnsi="宋体" w:cs="宋体"/>
                <w:sz w:val="24"/>
              </w:rPr>
            </w:pPr>
            <w:r>
              <w:rPr>
                <w:rFonts w:hint="eastAsia" w:ascii="宋体" w:hAnsi="宋体" w:cs="宋体"/>
                <w:sz w:val="24"/>
              </w:rPr>
              <w:t>53</w:t>
            </w:r>
          </w:p>
        </w:tc>
        <w:tc>
          <w:tcPr>
            <w:tcW w:w="2228" w:type="dxa"/>
            <w:tcBorders>
              <w:tl2br w:val="nil"/>
              <w:tr2bl w:val="nil"/>
            </w:tcBorders>
            <w:shd w:val="clear" w:color="auto" w:fill="F1F1F1"/>
            <w:vAlign w:val="center"/>
          </w:tcPr>
          <w:p>
            <w:pPr>
              <w:spacing w:line="360" w:lineRule="auto"/>
              <w:jc w:val="center"/>
              <w:rPr>
                <w:rFonts w:ascii="宋体" w:hAnsi="宋体" w:eastAsia="宋体" w:cs="宋体"/>
                <w:sz w:val="24"/>
              </w:rPr>
            </w:pPr>
            <w:r>
              <w:rPr>
                <w:rFonts w:hint="eastAsia" w:ascii="宋体" w:hAnsi="宋体" w:cs="宋体"/>
                <w:sz w:val="24"/>
              </w:rPr>
              <w:t>100%</w:t>
            </w:r>
          </w:p>
        </w:tc>
      </w:tr>
    </w:tbl>
    <w:p>
      <w:pPr>
        <w:spacing w:line="500" w:lineRule="exact"/>
        <w:ind w:firstLine="643" w:firstLineChars="200"/>
        <w:rPr>
          <w:rFonts w:asciiTheme="minorEastAsia" w:hAnsiTheme="minorEastAsia" w:cstheme="minorEastAsia"/>
          <w:b/>
          <w:bCs/>
          <w:sz w:val="24"/>
        </w:rPr>
      </w:pPr>
      <w:r>
        <w:rPr>
          <w:rFonts w:hint="eastAsia" w:ascii="仿宋_GB2312" w:hAnsi="仿宋_GB2312" w:eastAsia="仿宋_GB2312" w:cs="仿宋_GB2312"/>
          <w:b/>
          <w:bCs/>
          <w:sz w:val="32"/>
          <w:szCs w:val="32"/>
        </w:rPr>
        <w:t>二是男女结构。</w:t>
      </w:r>
      <w:r>
        <w:rPr>
          <w:rFonts w:hint="eastAsia" w:ascii="仿宋_GB2312" w:hAnsi="仿宋_GB2312" w:eastAsia="仿宋_GB2312" w:cs="仿宋_GB2312"/>
          <w:sz w:val="32"/>
          <w:szCs w:val="32"/>
        </w:rPr>
        <w:t>2019年，学校在校男生2181人，占57.3%，女生1613人，占42.5%；男生占比略高于女生。</w:t>
      </w:r>
    </w:p>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表3：男女比例结构表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年份</w:t>
            </w:r>
          </w:p>
        </w:tc>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360" w:lineRule="auto"/>
              <w:jc w:val="center"/>
              <w:rPr>
                <w:rFonts w:asciiTheme="minorEastAsia" w:hAnsiTheme="minorEastAsia" w:cstheme="minorEastAsia"/>
                <w:b/>
                <w:bCs/>
                <w:sz w:val="24"/>
              </w:rPr>
            </w:pPr>
            <w:r>
              <w:rPr>
                <w:rFonts w:hint="eastAsia" w:ascii="宋体" w:hAnsi="宋体" w:cs="宋体"/>
                <w:b/>
                <w:bCs/>
                <w:sz w:val="24"/>
              </w:rPr>
              <w:t>2018</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360" w:lineRule="auto"/>
              <w:jc w:val="center"/>
              <w:rPr>
                <w:rFonts w:asciiTheme="minorEastAsia" w:hAnsiTheme="minorEastAsia" w:cstheme="minorEastAsia"/>
                <w:b/>
                <w:bCs/>
                <w:sz w:val="24"/>
              </w:rPr>
            </w:pPr>
            <w:r>
              <w:rPr>
                <w:rFonts w:hint="eastAsia" w:ascii="宋体" w:hAnsi="宋体" w:cs="宋体"/>
                <w:b/>
                <w:bCs/>
                <w:sz w:val="24"/>
              </w:rPr>
              <w:t>2019</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360" w:lineRule="auto"/>
              <w:jc w:val="center"/>
              <w:rPr>
                <w:rFonts w:asciiTheme="minorEastAsia" w:hAnsiTheme="minorEastAsia" w:cstheme="minorEastAsia"/>
                <w:b/>
                <w:bCs/>
                <w:sz w:val="24"/>
              </w:rPr>
            </w:pPr>
            <w:r>
              <w:rPr>
                <w:rFonts w:hint="eastAsia" w:ascii="宋体" w:hAnsi="宋体" w:cs="宋体"/>
                <w:b/>
                <w:bCs/>
                <w:sz w:val="24"/>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男</w:t>
            </w:r>
          </w:p>
        </w:tc>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sz w:val="24"/>
              </w:rPr>
            </w:pPr>
            <w:r>
              <w:rPr>
                <w:rFonts w:hint="eastAsia" w:ascii="宋体" w:hAnsi="宋体" w:cs="宋体"/>
                <w:sz w:val="24"/>
              </w:rPr>
              <w:t>1832</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sz w:val="24"/>
              </w:rPr>
            </w:pPr>
            <w:r>
              <w:rPr>
                <w:rFonts w:hint="eastAsia" w:ascii="宋体" w:hAnsi="宋体" w:cs="宋体"/>
                <w:sz w:val="24"/>
              </w:rPr>
              <w:t>2181</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sz w:val="24"/>
              </w:rPr>
            </w:pPr>
            <w:r>
              <w:rPr>
                <w:rFonts w:hint="eastAsia" w:ascii="宋体" w:hAnsi="宋体" w:cs="宋体"/>
                <w:sz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女</w:t>
            </w:r>
          </w:p>
        </w:tc>
        <w:tc>
          <w:tcPr>
            <w:tcW w:w="21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360" w:lineRule="auto"/>
              <w:jc w:val="center"/>
              <w:rPr>
                <w:rFonts w:asciiTheme="minorEastAsia" w:hAnsiTheme="minorEastAsia" w:cstheme="minorEastAsia"/>
                <w:sz w:val="24"/>
              </w:rPr>
            </w:pPr>
            <w:r>
              <w:rPr>
                <w:rFonts w:hint="eastAsia" w:ascii="宋体" w:hAnsi="宋体" w:cs="宋体"/>
                <w:sz w:val="24"/>
              </w:rPr>
              <w:t>1492</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360" w:lineRule="auto"/>
              <w:jc w:val="center"/>
              <w:rPr>
                <w:rFonts w:asciiTheme="minorEastAsia" w:hAnsiTheme="minorEastAsia" w:cstheme="minorEastAsia"/>
                <w:sz w:val="24"/>
              </w:rPr>
            </w:pPr>
            <w:r>
              <w:rPr>
                <w:rFonts w:hint="eastAsia" w:ascii="宋体" w:hAnsi="宋体" w:cs="宋体"/>
                <w:sz w:val="24"/>
              </w:rPr>
              <w:t>1613</w:t>
            </w:r>
          </w:p>
        </w:tc>
        <w:tc>
          <w:tcPr>
            <w:tcW w:w="213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360" w:lineRule="auto"/>
              <w:jc w:val="center"/>
              <w:rPr>
                <w:rFonts w:asciiTheme="minorEastAsia" w:hAnsiTheme="minorEastAsia" w:cstheme="minorEastAsia"/>
                <w:sz w:val="24"/>
              </w:rPr>
            </w:pPr>
            <w:r>
              <w:rPr>
                <w:rFonts w:hint="eastAsia" w:ascii="宋体" w:hAnsi="宋体" w:cs="宋体"/>
                <w:sz w:val="24"/>
              </w:rPr>
              <w:t>8.1%</w:t>
            </w:r>
          </w:p>
        </w:tc>
      </w:tr>
    </w:tbl>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三是来源结构。</w:t>
      </w:r>
      <w:r>
        <w:rPr>
          <w:rFonts w:hint="eastAsia" w:ascii="仿宋_GB2312" w:hAnsi="仿宋_GB2312" w:eastAsia="仿宋_GB2312" w:cs="仿宋_GB2312"/>
          <w:sz w:val="32"/>
          <w:szCs w:val="32"/>
        </w:rPr>
        <w:t>我校生源大多数来源于农村，农村户籍生源占总比例的94.2%。其中2017级农村户籍学生占该年级的92%，2018级农村户籍学生占该年级比例为94.6%，2019级所占比例为94.2%。反映出农村家庭生源对我校的认可度较高。</w:t>
      </w:r>
    </w:p>
    <w:p>
      <w:pPr>
        <w:spacing w:line="360" w:lineRule="auto"/>
        <w:jc w:val="center"/>
        <w:rPr>
          <w:rFonts w:ascii="仿宋_GB2312" w:hAnsi="仿宋_GB2312" w:eastAsia="仿宋_GB2312" w:cs="仿宋_GB2312"/>
          <w:b/>
          <w:bCs/>
          <w:sz w:val="24"/>
        </w:rPr>
      </w:pPr>
      <w:r>
        <w:rPr>
          <w:rFonts w:hint="eastAsia" w:asciiTheme="minorEastAsia" w:hAnsiTheme="minorEastAsia" w:cstheme="minorEastAsia"/>
          <w:b/>
          <w:bCs/>
          <w:sz w:val="24"/>
        </w:rPr>
        <w:t>表4：生源结构对比表</w:t>
      </w:r>
    </w:p>
    <w:tbl>
      <w:tblPr>
        <w:tblStyle w:val="13"/>
        <w:tblW w:w="7596" w:type="dxa"/>
        <w:tblInd w:w="30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34"/>
        <w:gridCol w:w="2398"/>
        <w:gridCol w:w="256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63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年级</w:t>
            </w:r>
          </w:p>
        </w:tc>
        <w:tc>
          <w:tcPr>
            <w:tcW w:w="239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农村</w:t>
            </w:r>
          </w:p>
        </w:tc>
        <w:tc>
          <w:tcPr>
            <w:tcW w:w="256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城镇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2017</w:t>
            </w:r>
          </w:p>
        </w:tc>
        <w:tc>
          <w:tcPr>
            <w:tcW w:w="239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sz w:val="24"/>
              </w:rPr>
            </w:pPr>
            <w:r>
              <w:rPr>
                <w:rFonts w:hint="eastAsia" w:ascii="宋体" w:hAnsi="宋体" w:cs="宋体"/>
                <w:sz w:val="24"/>
              </w:rPr>
              <w:t>92%</w:t>
            </w:r>
          </w:p>
        </w:tc>
        <w:tc>
          <w:tcPr>
            <w:tcW w:w="256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sz w:val="24"/>
              </w:rPr>
            </w:pPr>
            <w:r>
              <w:rPr>
                <w:rFonts w:hint="eastAsia" w:ascii="宋体" w:hAnsi="宋体" w:cs="宋体"/>
                <w:sz w:val="24"/>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2018</w:t>
            </w:r>
          </w:p>
        </w:tc>
        <w:tc>
          <w:tcPr>
            <w:tcW w:w="239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360" w:lineRule="auto"/>
              <w:jc w:val="center"/>
              <w:rPr>
                <w:rFonts w:asciiTheme="minorEastAsia" w:hAnsiTheme="minorEastAsia" w:cstheme="minorEastAsia"/>
                <w:sz w:val="24"/>
              </w:rPr>
            </w:pPr>
            <w:r>
              <w:rPr>
                <w:rFonts w:hint="eastAsia" w:ascii="宋体" w:hAnsi="宋体" w:cs="宋体"/>
                <w:sz w:val="24"/>
              </w:rPr>
              <w:t>94.6%</w:t>
            </w:r>
          </w:p>
        </w:tc>
        <w:tc>
          <w:tcPr>
            <w:tcW w:w="256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spacing w:line="360" w:lineRule="auto"/>
              <w:jc w:val="center"/>
              <w:rPr>
                <w:rFonts w:asciiTheme="minorEastAsia" w:hAnsiTheme="minorEastAsia" w:cstheme="minorEastAsia"/>
                <w:sz w:val="24"/>
              </w:rPr>
            </w:pPr>
            <w:r>
              <w:rPr>
                <w:rFonts w:hint="eastAsia" w:ascii="宋体" w:hAnsi="宋体" w:cs="宋体"/>
                <w:sz w:val="24"/>
              </w:rPr>
              <w:t>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2019</w:t>
            </w:r>
          </w:p>
        </w:tc>
        <w:tc>
          <w:tcPr>
            <w:tcW w:w="239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sz w:val="24"/>
              </w:rPr>
            </w:pPr>
            <w:r>
              <w:rPr>
                <w:rFonts w:hint="eastAsia" w:ascii="宋体" w:hAnsi="宋体" w:cs="宋体"/>
                <w:sz w:val="24"/>
              </w:rPr>
              <w:t>94.2%</w:t>
            </w:r>
          </w:p>
        </w:tc>
        <w:tc>
          <w:tcPr>
            <w:tcW w:w="256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spacing w:line="360" w:lineRule="auto"/>
              <w:jc w:val="center"/>
              <w:rPr>
                <w:rFonts w:asciiTheme="minorEastAsia" w:hAnsiTheme="minorEastAsia" w:cstheme="minorEastAsia"/>
                <w:sz w:val="24"/>
              </w:rPr>
            </w:pPr>
            <w:r>
              <w:rPr>
                <w:rFonts w:hint="eastAsia" w:ascii="宋体" w:hAnsi="宋体" w:cs="宋体"/>
                <w:sz w:val="24"/>
              </w:rPr>
              <w:t>5.8%</w:t>
            </w:r>
          </w:p>
        </w:tc>
      </w:tr>
    </w:tbl>
    <w:p>
      <w:pPr>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1.2.3巩固率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以培养学生“成人、成才、成功”为指导，全面做好学生的思想品德、遵纪守法、文明行为的教育与养成，狠抓学生流失率，切实做好学生思想工作，了解学生心理动态，不让一位学生轻易退学；做好家校沟通，学校每学年开展“万师访万家”活动，亲切关怀每一位学生。退学学生从上学年的208人减少到本学年的171人，巩固率从去年的93.7%提升到95.5%。</w:t>
      </w:r>
    </w:p>
    <w:p>
      <w:pPr>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1.2.4培训规模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学校2019年职业技能培训1187人，2018年职业技能培训</w:t>
      </w:r>
      <w:r>
        <w:rPr>
          <w:rFonts w:ascii="仿宋_GB2312" w:hAnsi="仿宋_GB2312" w:eastAsia="仿宋_GB2312" w:cs="仿宋_GB2312"/>
          <w:sz w:val="32"/>
          <w:szCs w:val="32"/>
        </w:rPr>
        <w:t>1397</w:t>
      </w:r>
      <w:r>
        <w:rPr>
          <w:rFonts w:hint="eastAsia" w:ascii="仿宋_GB2312" w:hAnsi="仿宋_GB2312" w:eastAsia="仿宋_GB2312" w:cs="仿宋_GB2312"/>
          <w:sz w:val="32"/>
          <w:szCs w:val="32"/>
        </w:rPr>
        <w:t>人，同比增长-15%。</w:t>
      </w:r>
    </w:p>
    <w:p>
      <w:pPr>
        <w:pStyle w:val="4"/>
        <w:spacing w:before="156" w:after="156" w:line="500" w:lineRule="exact"/>
        <w:ind w:firstLine="723"/>
        <w:rPr>
          <w:rFonts w:hint="default"/>
        </w:rPr>
      </w:pPr>
      <w:bookmarkStart w:id="18" w:name="_Toc25864"/>
      <w:bookmarkStart w:id="19" w:name="_Toc30160"/>
      <w:bookmarkStart w:id="20" w:name="_Toc19655"/>
      <w:bookmarkStart w:id="21" w:name="_Toc5872"/>
      <w:r>
        <w:t>1.3教师队伍</w:t>
      </w:r>
      <w:bookmarkEnd w:id="18"/>
      <w:bookmarkEnd w:id="19"/>
      <w:bookmarkEnd w:id="20"/>
      <w:bookmarkEnd w:id="21"/>
    </w:p>
    <w:p>
      <w:pPr>
        <w:spacing w:line="500" w:lineRule="exact"/>
        <w:ind w:firstLine="640" w:firstLineChars="200"/>
        <w:rPr>
          <w:rFonts w:ascii="仿宋_GB2312" w:eastAsia="仿宋_GB2312"/>
          <w:sz w:val="32"/>
          <w:szCs w:val="32"/>
        </w:rPr>
      </w:pPr>
      <w:bookmarkStart w:id="22" w:name="_Toc14942"/>
      <w:bookmarkStart w:id="23" w:name="_Toc21653"/>
      <w:bookmarkStart w:id="24" w:name="_Toc22249"/>
      <w:r>
        <w:rPr>
          <w:rFonts w:hint="eastAsia" w:ascii="仿宋_GB2312" w:eastAsia="仿宋_GB2312"/>
          <w:sz w:val="32"/>
          <w:szCs w:val="32"/>
        </w:rPr>
        <w:t>2019年，学校教师总数为169人，其中专任教师104人，兼职教师65人，生师比22.2:1；本科学历128人，占比75.7%,比去年略减2.6%；硕士以上学历18人，占比10.7%，比去年增加6.1%；高级职称39人，占比23.1%；经教育厅核发“双师型”教师证的教师40人，占比23.7%。</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专任教师中本科学历77人，占比74.3%，比去年减少3.1%；硕士以上学历9人，占比8.7%，比去年增加5.5%。详见下表：</w:t>
      </w:r>
    </w:p>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表5：教师队伍情况一览表</w:t>
      </w:r>
    </w:p>
    <w:tbl>
      <w:tblPr>
        <w:tblStyle w:val="1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680"/>
        <w:gridCol w:w="1620"/>
        <w:gridCol w:w="165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38" w:type="dxa"/>
            <w:tcBorders>
              <w:top w:val="single" w:color="FFFFFF" w:sz="6" w:space="0"/>
              <w:left w:val="single" w:color="FFFFFF" w:sz="6" w:space="0"/>
              <w:bottom w:val="single" w:color="FFFFFF" w:sz="6" w:space="0"/>
              <w:right w:val="single" w:color="FFFFFF"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年份</w:t>
            </w:r>
          </w:p>
        </w:tc>
        <w:tc>
          <w:tcPr>
            <w:tcW w:w="3300" w:type="dxa"/>
            <w:gridSpan w:val="2"/>
            <w:tcBorders>
              <w:top w:val="single" w:color="FFFFFF" w:sz="6" w:space="0"/>
              <w:left w:val="single" w:color="FFFFFF" w:sz="6" w:space="0"/>
              <w:bottom w:val="single" w:color="FFFFFF" w:sz="6" w:space="0"/>
              <w:right w:val="single" w:color="FFFFFF"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2019年</w:t>
            </w:r>
          </w:p>
        </w:tc>
        <w:tc>
          <w:tcPr>
            <w:tcW w:w="3202" w:type="dxa"/>
            <w:gridSpan w:val="2"/>
            <w:tcBorders>
              <w:top w:val="single" w:color="FFFFFF" w:sz="6" w:space="0"/>
              <w:left w:val="single" w:color="FFFFFF" w:sz="6" w:space="0"/>
              <w:bottom w:val="single" w:color="FFFFFF" w:sz="6" w:space="0"/>
              <w:right w:val="single" w:color="FFFFFF"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8"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教师类型</w:t>
            </w:r>
          </w:p>
        </w:tc>
        <w:tc>
          <w:tcPr>
            <w:tcW w:w="168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专任教师</w:t>
            </w:r>
          </w:p>
        </w:tc>
        <w:tc>
          <w:tcPr>
            <w:tcW w:w="162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兼职教师</w:t>
            </w:r>
          </w:p>
        </w:tc>
        <w:tc>
          <w:tcPr>
            <w:tcW w:w="165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专任教师</w:t>
            </w:r>
          </w:p>
        </w:tc>
        <w:tc>
          <w:tcPr>
            <w:tcW w:w="1552"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8"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教师数量</w:t>
            </w:r>
          </w:p>
        </w:tc>
        <w:tc>
          <w:tcPr>
            <w:tcW w:w="168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104</w:t>
            </w:r>
          </w:p>
        </w:tc>
        <w:tc>
          <w:tcPr>
            <w:tcW w:w="162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b/>
                <w:sz w:val="24"/>
              </w:rPr>
            </w:pPr>
            <w:r>
              <w:rPr>
                <w:rFonts w:hint="eastAsia" w:asciiTheme="minorEastAsia" w:hAnsiTheme="minorEastAsia" w:cstheme="minorEastAsia"/>
                <w:bCs/>
                <w:sz w:val="24"/>
              </w:rPr>
              <w:t>65</w:t>
            </w:r>
          </w:p>
        </w:tc>
        <w:tc>
          <w:tcPr>
            <w:tcW w:w="165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93</w:t>
            </w:r>
          </w:p>
        </w:tc>
        <w:tc>
          <w:tcPr>
            <w:tcW w:w="1552"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8"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双师型教师</w:t>
            </w:r>
          </w:p>
        </w:tc>
        <w:tc>
          <w:tcPr>
            <w:tcW w:w="168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12</w:t>
            </w:r>
          </w:p>
        </w:tc>
        <w:tc>
          <w:tcPr>
            <w:tcW w:w="162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28</w:t>
            </w:r>
          </w:p>
        </w:tc>
        <w:tc>
          <w:tcPr>
            <w:tcW w:w="165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1552"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8"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本科学历</w:t>
            </w:r>
          </w:p>
        </w:tc>
        <w:tc>
          <w:tcPr>
            <w:tcW w:w="168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77</w:t>
            </w:r>
          </w:p>
        </w:tc>
        <w:tc>
          <w:tcPr>
            <w:tcW w:w="162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51</w:t>
            </w:r>
          </w:p>
        </w:tc>
        <w:tc>
          <w:tcPr>
            <w:tcW w:w="165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72</w:t>
            </w:r>
          </w:p>
        </w:tc>
        <w:tc>
          <w:tcPr>
            <w:tcW w:w="1552"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8"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研究生学历</w:t>
            </w:r>
          </w:p>
        </w:tc>
        <w:tc>
          <w:tcPr>
            <w:tcW w:w="168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9</w:t>
            </w:r>
          </w:p>
        </w:tc>
        <w:tc>
          <w:tcPr>
            <w:tcW w:w="162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9</w:t>
            </w:r>
          </w:p>
        </w:tc>
        <w:tc>
          <w:tcPr>
            <w:tcW w:w="1650"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3</w:t>
            </w:r>
          </w:p>
        </w:tc>
        <w:tc>
          <w:tcPr>
            <w:tcW w:w="1552"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8"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高级职称教师</w:t>
            </w:r>
          </w:p>
        </w:tc>
        <w:tc>
          <w:tcPr>
            <w:tcW w:w="168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12</w:t>
            </w:r>
          </w:p>
        </w:tc>
        <w:tc>
          <w:tcPr>
            <w:tcW w:w="162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27</w:t>
            </w:r>
          </w:p>
        </w:tc>
        <w:tc>
          <w:tcPr>
            <w:tcW w:w="1650"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13</w:t>
            </w:r>
          </w:p>
        </w:tc>
        <w:tc>
          <w:tcPr>
            <w:tcW w:w="1552" w:type="dxa"/>
            <w:tcBorders>
              <w:top w:val="single" w:color="FFFFFF" w:sz="6" w:space="0"/>
              <w:left w:val="single" w:color="FFFFFF" w:sz="6" w:space="0"/>
              <w:bottom w:val="single" w:color="FFFFFF" w:sz="6" w:space="0"/>
              <w:right w:val="single" w:color="FFFFFF"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8" w:type="dxa"/>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生师比</w:t>
            </w:r>
          </w:p>
        </w:tc>
        <w:tc>
          <w:tcPr>
            <w:tcW w:w="3300" w:type="dxa"/>
            <w:gridSpan w:val="2"/>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22.2:1</w:t>
            </w:r>
          </w:p>
        </w:tc>
        <w:tc>
          <w:tcPr>
            <w:tcW w:w="3202" w:type="dxa"/>
            <w:gridSpan w:val="2"/>
            <w:tcBorders>
              <w:top w:val="single" w:color="FFFFFF" w:sz="6" w:space="0"/>
              <w:left w:val="single" w:color="FFFFFF" w:sz="6" w:space="0"/>
              <w:bottom w:val="single" w:color="FFFFFF" w:sz="6" w:space="0"/>
              <w:right w:val="single" w:color="FFFFFF"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21.9:1</w:t>
            </w:r>
          </w:p>
        </w:tc>
      </w:tr>
    </w:tbl>
    <w:p>
      <w:pPr>
        <w:pStyle w:val="4"/>
        <w:spacing w:before="156" w:after="156" w:line="500" w:lineRule="exact"/>
        <w:ind w:firstLine="723"/>
        <w:rPr>
          <w:rFonts w:hint="default"/>
        </w:rPr>
      </w:pPr>
      <w:bookmarkStart w:id="25" w:name="_Toc19011"/>
      <w:r>
        <w:t>1.4设施设备</w:t>
      </w:r>
      <w:bookmarkEnd w:id="22"/>
      <w:bookmarkEnd w:id="23"/>
      <w:bookmarkEnd w:id="24"/>
      <w:bookmarkEnd w:id="25"/>
    </w:p>
    <w:p>
      <w:pPr>
        <w:spacing w:line="500" w:lineRule="exact"/>
        <w:ind w:firstLine="640" w:firstLineChars="200"/>
        <w:rPr>
          <w:rFonts w:ascii="仿宋_GB2312" w:eastAsia="仿宋_GB2312"/>
          <w:sz w:val="32"/>
          <w:szCs w:val="32"/>
        </w:rPr>
      </w:pPr>
      <w:r>
        <w:rPr>
          <w:rFonts w:hint="eastAsia" w:ascii="仿宋_GB2312" w:eastAsia="仿宋_GB2312"/>
          <w:sz w:val="32"/>
          <w:szCs w:val="32"/>
        </w:rPr>
        <w:t>学校2019年教学仪器设备总值1795.4万元，实训实习工位1849个，纸质图书3.02万册。详见下表：</w:t>
      </w:r>
    </w:p>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表6：设施设备情况一览表</w:t>
      </w:r>
    </w:p>
    <w:tbl>
      <w:tblPr>
        <w:tblStyle w:val="12"/>
        <w:tblW w:w="8280" w:type="dxa"/>
        <w:jc w:val="center"/>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1620"/>
        <w:gridCol w:w="1260"/>
        <w:gridCol w:w="990"/>
        <w:gridCol w:w="1350"/>
        <w:gridCol w:w="975"/>
        <w:gridCol w:w="1110"/>
        <w:gridCol w:w="975"/>
      </w:tblGrid>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719" w:hRule="atLeast"/>
          <w:jc w:val="center"/>
        </w:trPr>
        <w:tc>
          <w:tcPr>
            <w:tcW w:w="1620" w:type="dxa"/>
            <w:vMerge w:val="restart"/>
            <w:tcBorders>
              <w:tl2br w:val="nil"/>
              <w:tr2bl w:val="nil"/>
            </w:tcBorders>
            <w:shd w:val="clear" w:color="auto" w:fill="5B9BD5"/>
            <w:vAlign w:val="center"/>
          </w:tcPr>
          <w:p>
            <w:pPr>
              <w:jc w:val="center"/>
              <w:rPr>
                <w:rFonts w:asciiTheme="minorEastAsia" w:hAnsiTheme="minorEastAsia" w:cstheme="minorEastAsia"/>
                <w:b/>
                <w:bCs/>
                <w:sz w:val="24"/>
              </w:rPr>
            </w:pPr>
            <w:bookmarkStart w:id="26" w:name="_Toc4216"/>
            <w:bookmarkStart w:id="27" w:name="_Toc4829"/>
            <w:bookmarkStart w:id="28" w:name="_Toc21406"/>
            <w:r>
              <w:rPr>
                <w:rFonts w:hint="eastAsia" w:asciiTheme="minorEastAsia" w:hAnsiTheme="minorEastAsia" w:cstheme="minorEastAsia"/>
                <w:b/>
                <w:bCs/>
                <w:sz w:val="24"/>
              </w:rPr>
              <w:t>年份</w:t>
            </w:r>
          </w:p>
        </w:tc>
        <w:tc>
          <w:tcPr>
            <w:tcW w:w="2250" w:type="dxa"/>
            <w:gridSpan w:val="2"/>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教学仪器设备</w:t>
            </w:r>
          </w:p>
          <w:p>
            <w:pPr>
              <w:jc w:val="center"/>
              <w:rPr>
                <w:rFonts w:asciiTheme="minorEastAsia" w:hAnsiTheme="minorEastAsia" w:cstheme="minorEastAsia"/>
                <w:b/>
                <w:bCs/>
                <w:sz w:val="24"/>
              </w:rPr>
            </w:pPr>
            <w:r>
              <w:rPr>
                <w:rFonts w:hint="eastAsia" w:asciiTheme="minorEastAsia" w:hAnsiTheme="minorEastAsia" w:cstheme="minorEastAsia"/>
                <w:b/>
                <w:bCs/>
                <w:sz w:val="24"/>
              </w:rPr>
              <w:t>（单位：万元）</w:t>
            </w:r>
          </w:p>
        </w:tc>
        <w:tc>
          <w:tcPr>
            <w:tcW w:w="2325" w:type="dxa"/>
            <w:gridSpan w:val="2"/>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实训实习工位</w:t>
            </w:r>
          </w:p>
          <w:p>
            <w:pPr>
              <w:jc w:val="center"/>
              <w:rPr>
                <w:rFonts w:asciiTheme="minorEastAsia" w:hAnsiTheme="minorEastAsia" w:cstheme="minorEastAsia"/>
                <w:b/>
                <w:bCs/>
                <w:sz w:val="24"/>
              </w:rPr>
            </w:pPr>
            <w:r>
              <w:rPr>
                <w:rFonts w:hint="eastAsia" w:asciiTheme="minorEastAsia" w:hAnsiTheme="minorEastAsia" w:cstheme="minorEastAsia"/>
                <w:b/>
                <w:bCs/>
                <w:sz w:val="24"/>
              </w:rPr>
              <w:t>（单位：个）</w:t>
            </w:r>
          </w:p>
        </w:tc>
        <w:tc>
          <w:tcPr>
            <w:tcW w:w="2085" w:type="dxa"/>
            <w:gridSpan w:val="2"/>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纸质图书</w:t>
            </w:r>
          </w:p>
          <w:p>
            <w:pPr>
              <w:jc w:val="center"/>
              <w:rPr>
                <w:rFonts w:asciiTheme="minorEastAsia" w:hAnsiTheme="minorEastAsia" w:cstheme="minorEastAsia"/>
                <w:b/>
                <w:bCs/>
                <w:sz w:val="24"/>
              </w:rPr>
            </w:pPr>
            <w:r>
              <w:rPr>
                <w:rFonts w:hint="eastAsia" w:asciiTheme="minorEastAsia" w:hAnsiTheme="minorEastAsia" w:cstheme="minorEastAsia"/>
                <w:b/>
                <w:bCs/>
                <w:sz w:val="24"/>
              </w:rPr>
              <w:t>（单位：册）</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602" w:hRule="atLeast"/>
          <w:jc w:val="center"/>
        </w:trPr>
        <w:tc>
          <w:tcPr>
            <w:tcW w:w="1620" w:type="dxa"/>
            <w:vMerge w:val="continue"/>
            <w:tcBorders>
              <w:tl2br w:val="nil"/>
              <w:tr2bl w:val="nil"/>
            </w:tcBorders>
            <w:shd w:val="clear" w:color="auto" w:fill="5B9BD5"/>
            <w:vAlign w:val="center"/>
          </w:tcPr>
          <w:p>
            <w:pPr>
              <w:jc w:val="center"/>
              <w:rPr>
                <w:rFonts w:asciiTheme="minorEastAsia" w:hAnsiTheme="minorEastAsia" w:cstheme="minorEastAsia"/>
                <w:b/>
                <w:bCs/>
                <w:sz w:val="24"/>
              </w:rPr>
            </w:pPr>
          </w:p>
        </w:tc>
        <w:tc>
          <w:tcPr>
            <w:tcW w:w="1260"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生均</w:t>
            </w:r>
          </w:p>
        </w:tc>
        <w:tc>
          <w:tcPr>
            <w:tcW w:w="990"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增长率</w:t>
            </w:r>
          </w:p>
        </w:tc>
        <w:tc>
          <w:tcPr>
            <w:tcW w:w="1350"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生均</w:t>
            </w:r>
          </w:p>
        </w:tc>
        <w:tc>
          <w:tcPr>
            <w:tcW w:w="975"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增长率</w:t>
            </w:r>
          </w:p>
        </w:tc>
        <w:tc>
          <w:tcPr>
            <w:tcW w:w="1110"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生均</w:t>
            </w:r>
          </w:p>
        </w:tc>
        <w:tc>
          <w:tcPr>
            <w:tcW w:w="975"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增长率</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37" w:hRule="atLeast"/>
          <w:jc w:val="center"/>
        </w:trPr>
        <w:tc>
          <w:tcPr>
            <w:tcW w:w="1620" w:type="dxa"/>
            <w:tcBorders>
              <w:tl2br w:val="nil"/>
              <w:tr2bl w:val="nil"/>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2019年</w:t>
            </w:r>
          </w:p>
        </w:tc>
        <w:tc>
          <w:tcPr>
            <w:tcW w:w="1260"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0.48</w:t>
            </w:r>
          </w:p>
        </w:tc>
        <w:tc>
          <w:tcPr>
            <w:tcW w:w="990" w:type="dxa"/>
            <w:vMerge w:val="restart"/>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11.65%</w:t>
            </w:r>
          </w:p>
        </w:tc>
        <w:tc>
          <w:tcPr>
            <w:tcW w:w="1350"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0.49</w:t>
            </w:r>
          </w:p>
        </w:tc>
        <w:tc>
          <w:tcPr>
            <w:tcW w:w="975" w:type="dxa"/>
            <w:vMerge w:val="restart"/>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6.52%</w:t>
            </w:r>
          </w:p>
        </w:tc>
        <w:tc>
          <w:tcPr>
            <w:tcW w:w="1110"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8.02</w:t>
            </w:r>
          </w:p>
        </w:tc>
        <w:tc>
          <w:tcPr>
            <w:tcW w:w="975" w:type="dxa"/>
            <w:vMerge w:val="restart"/>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-4.98%</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536" w:hRule="atLeast"/>
          <w:jc w:val="center"/>
        </w:trPr>
        <w:tc>
          <w:tcPr>
            <w:tcW w:w="1620" w:type="dxa"/>
            <w:tcBorders>
              <w:tl2br w:val="nil"/>
              <w:tr2bl w:val="nil"/>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2018年</w:t>
            </w:r>
          </w:p>
        </w:tc>
        <w:tc>
          <w:tcPr>
            <w:tcW w:w="1260"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0.43</w:t>
            </w:r>
          </w:p>
        </w:tc>
        <w:tc>
          <w:tcPr>
            <w:tcW w:w="990" w:type="dxa"/>
            <w:vMerge w:val="continue"/>
            <w:tcBorders>
              <w:tl2br w:val="nil"/>
              <w:tr2bl w:val="nil"/>
            </w:tcBorders>
            <w:shd w:val="clear" w:color="auto" w:fill="F1F1F1"/>
            <w:vAlign w:val="center"/>
          </w:tcPr>
          <w:p>
            <w:pPr>
              <w:jc w:val="center"/>
              <w:rPr>
                <w:rFonts w:asciiTheme="minorEastAsia" w:hAnsiTheme="minorEastAsia" w:cstheme="minorEastAsia"/>
                <w:sz w:val="24"/>
              </w:rPr>
            </w:pPr>
          </w:p>
        </w:tc>
        <w:tc>
          <w:tcPr>
            <w:tcW w:w="1350"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0.46</w:t>
            </w:r>
          </w:p>
        </w:tc>
        <w:tc>
          <w:tcPr>
            <w:tcW w:w="975" w:type="dxa"/>
            <w:vMerge w:val="continue"/>
            <w:tcBorders>
              <w:tl2br w:val="nil"/>
              <w:tr2bl w:val="nil"/>
            </w:tcBorders>
            <w:shd w:val="clear" w:color="auto" w:fill="F1F1F1"/>
            <w:vAlign w:val="center"/>
          </w:tcPr>
          <w:p>
            <w:pPr>
              <w:jc w:val="center"/>
              <w:rPr>
                <w:rFonts w:asciiTheme="minorEastAsia" w:hAnsiTheme="minorEastAsia" w:cstheme="minorEastAsia"/>
                <w:sz w:val="24"/>
              </w:rPr>
            </w:pPr>
          </w:p>
        </w:tc>
        <w:tc>
          <w:tcPr>
            <w:tcW w:w="1110"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8.44</w:t>
            </w:r>
          </w:p>
        </w:tc>
        <w:tc>
          <w:tcPr>
            <w:tcW w:w="975" w:type="dxa"/>
            <w:vMerge w:val="continue"/>
            <w:tcBorders>
              <w:tl2br w:val="nil"/>
              <w:tr2bl w:val="nil"/>
            </w:tcBorders>
            <w:shd w:val="clear" w:color="auto" w:fill="F1F1F1"/>
            <w:vAlign w:val="center"/>
          </w:tcPr>
          <w:p>
            <w:pPr>
              <w:jc w:val="center"/>
              <w:rPr>
                <w:rFonts w:asciiTheme="minorEastAsia" w:hAnsiTheme="minorEastAsia" w:cstheme="minorEastAsia"/>
                <w:sz w:val="24"/>
              </w:rPr>
            </w:pPr>
          </w:p>
        </w:tc>
      </w:tr>
    </w:tbl>
    <w:p>
      <w:pPr>
        <w:pStyle w:val="3"/>
        <w:spacing w:before="312" w:after="312" w:line="500" w:lineRule="exact"/>
      </w:pPr>
      <w:bookmarkStart w:id="29" w:name="_Toc15219"/>
      <w:r>
        <w:rPr>
          <w:rFonts w:hint="eastAsia"/>
        </w:rPr>
        <w:t>2.学生发展</w:t>
      </w:r>
      <w:bookmarkEnd w:id="26"/>
      <w:bookmarkEnd w:id="27"/>
      <w:bookmarkEnd w:id="28"/>
      <w:bookmarkEnd w:id="29"/>
    </w:p>
    <w:p>
      <w:pPr>
        <w:pStyle w:val="4"/>
        <w:spacing w:before="156" w:after="156" w:line="500" w:lineRule="exact"/>
        <w:ind w:firstLine="723"/>
        <w:rPr>
          <w:rFonts w:hint="default"/>
        </w:rPr>
      </w:pPr>
      <w:bookmarkStart w:id="30" w:name="_Toc20189"/>
      <w:bookmarkStart w:id="31" w:name="_Toc30683"/>
      <w:bookmarkStart w:id="32" w:name="_Toc16970"/>
      <w:bookmarkStart w:id="33" w:name="_Toc24111"/>
      <w:r>
        <w:t>2.1学生素质</w:t>
      </w:r>
      <w:bookmarkEnd w:id="30"/>
      <w:bookmarkEnd w:id="31"/>
      <w:bookmarkEnd w:id="32"/>
      <w:bookmarkEnd w:id="33"/>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提升学生的思想素质，我校每年都会利用早操、主题班会、团日活动、专题讲座、黑板报等形式与载体在学生中开展系列主题教育活动，如：入学教育、安全教育、爱国主义教育、诚信教育、感恩教育等。让每一位学生充分参与其中，养成良好的行为习惯。通过开展这一系列主题教育活动，我校学生的综合素养获得了较大提升，校园处处呈现出文明和谐的气息。</w:t>
      </w:r>
    </w:p>
    <w:p>
      <w:pPr>
        <w:spacing w:line="5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按照人才培养方案开展</w:t>
      </w:r>
      <w:r>
        <w:rPr>
          <w:rFonts w:hint="eastAsia" w:ascii="仿宋_GB2312" w:hAnsi="仿宋_GB2312" w:eastAsia="仿宋_GB2312" w:cs="仿宋_GB2312"/>
          <w:sz w:val="32"/>
          <w:szCs w:val="32"/>
        </w:rPr>
        <w:t>理论和实践教学，2019年学校文化课合格率达82.3%，专业技能合格率达96.8%，体质测评合格率达98.9%；2019届毕业生945名，全部通过等级证考试，毕业率达100%。</w:t>
      </w:r>
    </w:p>
    <w:p>
      <w:pPr>
        <w:pStyle w:val="4"/>
        <w:spacing w:before="156" w:after="156" w:line="500" w:lineRule="exact"/>
        <w:ind w:firstLine="723"/>
        <w:rPr>
          <w:rFonts w:hint="default"/>
          <w:highlight w:val="yellow"/>
        </w:rPr>
      </w:pPr>
      <w:bookmarkStart w:id="34" w:name="_Toc11557"/>
      <w:bookmarkStart w:id="35" w:name="_Toc1631"/>
      <w:bookmarkStart w:id="36" w:name="_Toc18065"/>
      <w:bookmarkStart w:id="37" w:name="_Toc23135"/>
      <w:r>
        <w:t>2.2在校体验</w:t>
      </w:r>
      <w:bookmarkEnd w:id="34"/>
      <w:bookmarkEnd w:id="35"/>
      <w:bookmarkEnd w:id="36"/>
      <w:bookmarkEnd w:id="37"/>
    </w:p>
    <w:p>
      <w:pPr>
        <w:spacing w:line="500" w:lineRule="exact"/>
        <w:ind w:firstLine="640" w:firstLineChars="200"/>
        <w:rPr>
          <w:rFonts w:ascii="仿宋_GB2312" w:eastAsia="仿宋_GB2312"/>
          <w:sz w:val="32"/>
          <w:szCs w:val="32"/>
        </w:rPr>
      </w:pPr>
      <w:r>
        <w:rPr>
          <w:rFonts w:hint="eastAsia" w:ascii="仿宋_GB2312" w:eastAsia="仿宋_GB2312"/>
          <w:sz w:val="32"/>
          <w:szCs w:val="32"/>
        </w:rPr>
        <w:t>学校建立学生、毕业生、家长、用人单位满意度调查制度，并根据多方反馈进一步完善自身不足。</w:t>
      </w:r>
      <w:r>
        <w:rPr>
          <w:rFonts w:ascii="仿宋_GB2312" w:eastAsia="仿宋_GB2312"/>
          <w:sz w:val="32"/>
          <w:szCs w:val="32"/>
        </w:rPr>
        <w:t>为全面监测学生在校期间学习、生活等感受，学校每个学期均开展纸质问卷调查</w:t>
      </w:r>
      <w:r>
        <w:rPr>
          <w:rFonts w:hint="eastAsia" w:ascii="仿宋_GB2312" w:eastAsia="仿宋_GB2312"/>
          <w:sz w:val="32"/>
          <w:szCs w:val="32"/>
        </w:rPr>
        <w:t>，结果如下：</w:t>
      </w:r>
    </w:p>
    <w:p>
      <w:pPr>
        <w:spacing w:line="500" w:lineRule="exact"/>
        <w:jc w:val="center"/>
        <w:rPr>
          <w:b/>
          <w:bCs/>
          <w:sz w:val="24"/>
        </w:rPr>
      </w:pPr>
      <w:r>
        <w:rPr>
          <w:rFonts w:hint="eastAsia"/>
          <w:b/>
          <w:bCs/>
          <w:sz w:val="24"/>
        </w:rPr>
        <w:t>表</w:t>
      </w:r>
      <w:r>
        <w:rPr>
          <w:rFonts w:hint="eastAsia" w:asciiTheme="minorEastAsia" w:hAnsiTheme="minorEastAsia" w:cstheme="minorEastAsia"/>
          <w:b/>
          <w:bCs/>
          <w:sz w:val="24"/>
        </w:rPr>
        <w:t>7</w:t>
      </w:r>
      <w:r>
        <w:rPr>
          <w:rFonts w:hint="eastAsia"/>
          <w:b/>
          <w:bCs/>
          <w:sz w:val="24"/>
        </w:rPr>
        <w:t>：学生在校体验调查问卷统计表</w:t>
      </w:r>
    </w:p>
    <w:tbl>
      <w:tblPr>
        <w:tblStyle w:val="13"/>
        <w:tblW w:w="8581" w:type="dxa"/>
        <w:jc w:val="center"/>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1266"/>
        <w:gridCol w:w="912"/>
        <w:gridCol w:w="829"/>
        <w:gridCol w:w="967"/>
        <w:gridCol w:w="1892"/>
        <w:gridCol w:w="2715"/>
      </w:tblGrid>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023" w:hRule="atLeast"/>
          <w:jc w:val="center"/>
        </w:trPr>
        <w:tc>
          <w:tcPr>
            <w:tcW w:w="1266" w:type="dxa"/>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项目</w:t>
            </w:r>
          </w:p>
        </w:tc>
        <w:tc>
          <w:tcPr>
            <w:tcW w:w="912" w:type="dxa"/>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满意比率</w:t>
            </w:r>
          </w:p>
        </w:tc>
        <w:tc>
          <w:tcPr>
            <w:tcW w:w="829" w:type="dxa"/>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一般比率</w:t>
            </w:r>
          </w:p>
        </w:tc>
        <w:tc>
          <w:tcPr>
            <w:tcW w:w="967" w:type="dxa"/>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不满意比率</w:t>
            </w:r>
          </w:p>
        </w:tc>
        <w:tc>
          <w:tcPr>
            <w:tcW w:w="1892" w:type="dxa"/>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存在问题</w:t>
            </w:r>
          </w:p>
        </w:tc>
        <w:tc>
          <w:tcPr>
            <w:tcW w:w="2715" w:type="dxa"/>
            <w:tcBorders>
              <w:tl2br w:val="nil"/>
              <w:tr2bl w:val="nil"/>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改进建议</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023" w:hRule="atLeast"/>
          <w:jc w:val="center"/>
        </w:trPr>
        <w:tc>
          <w:tcPr>
            <w:tcW w:w="1266" w:type="dxa"/>
            <w:tcBorders>
              <w:tl2br w:val="nil"/>
              <w:tr2bl w:val="nil"/>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理论学习满意度</w:t>
            </w:r>
          </w:p>
        </w:tc>
        <w:tc>
          <w:tcPr>
            <w:tcW w:w="912"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Cs w:val="21"/>
              </w:rPr>
              <w:t>55%</w:t>
            </w:r>
          </w:p>
        </w:tc>
        <w:tc>
          <w:tcPr>
            <w:tcW w:w="829"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Cs w:val="21"/>
              </w:rPr>
              <w:t>43%</w:t>
            </w:r>
          </w:p>
        </w:tc>
        <w:tc>
          <w:tcPr>
            <w:tcW w:w="967"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Cs w:val="21"/>
              </w:rPr>
              <w:t>2%</w:t>
            </w:r>
          </w:p>
        </w:tc>
        <w:tc>
          <w:tcPr>
            <w:tcW w:w="1892"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Theme="minorEastAsia" w:hAnsiTheme="minorEastAsia" w:cstheme="minorEastAsia"/>
                <w:szCs w:val="21"/>
              </w:rPr>
              <w:t>1.信息化教学手段少2.运动场地不足3.教学比较枯燥</w:t>
            </w:r>
          </w:p>
        </w:tc>
        <w:tc>
          <w:tcPr>
            <w:tcW w:w="2715" w:type="dxa"/>
            <w:tcBorders>
              <w:tl2br w:val="nil"/>
              <w:tr2bl w:val="nil"/>
            </w:tcBorders>
            <w:shd w:val="clear" w:color="auto" w:fill="F1F1F1"/>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1.安装多媒体设备</w:t>
            </w:r>
          </w:p>
          <w:p>
            <w:pPr>
              <w:jc w:val="center"/>
              <w:rPr>
                <w:rFonts w:asciiTheme="minorEastAsia" w:hAnsiTheme="minorEastAsia" w:cstheme="minorEastAsia"/>
                <w:szCs w:val="21"/>
              </w:rPr>
            </w:pPr>
            <w:r>
              <w:rPr>
                <w:rFonts w:hint="eastAsia" w:asciiTheme="minorEastAsia" w:hAnsiTheme="minorEastAsia" w:cstheme="minorEastAsia"/>
                <w:szCs w:val="21"/>
              </w:rPr>
              <w:t>2.尽快建好室外运动场</w:t>
            </w:r>
          </w:p>
          <w:p>
            <w:pPr>
              <w:jc w:val="center"/>
              <w:rPr>
                <w:rFonts w:asciiTheme="minorEastAsia" w:hAnsiTheme="minorEastAsia" w:cstheme="minorEastAsia"/>
                <w:color w:val="FF0000"/>
                <w:sz w:val="24"/>
              </w:rPr>
            </w:pPr>
            <w:r>
              <w:rPr>
                <w:rFonts w:hint="eastAsia" w:asciiTheme="minorEastAsia" w:hAnsiTheme="minorEastAsia" w:cstheme="minorEastAsia"/>
                <w:szCs w:val="21"/>
              </w:rPr>
              <w:t>3.运用多样化的教学方式，使教学形象生动</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023" w:hRule="atLeast"/>
          <w:jc w:val="center"/>
        </w:trPr>
        <w:tc>
          <w:tcPr>
            <w:tcW w:w="1266"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专业学习满意度</w:t>
            </w:r>
          </w:p>
        </w:tc>
        <w:tc>
          <w:tcPr>
            <w:tcW w:w="912" w:type="dxa"/>
            <w:tcBorders>
              <w:tl2br w:val="nil"/>
              <w:tr2bl w:val="nil"/>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61%</w:t>
            </w:r>
          </w:p>
        </w:tc>
        <w:tc>
          <w:tcPr>
            <w:tcW w:w="829" w:type="dxa"/>
            <w:tcBorders>
              <w:tl2br w:val="nil"/>
              <w:tr2bl w:val="nil"/>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38%</w:t>
            </w:r>
          </w:p>
        </w:tc>
        <w:tc>
          <w:tcPr>
            <w:tcW w:w="967" w:type="dxa"/>
            <w:tcBorders>
              <w:tl2br w:val="nil"/>
              <w:tr2bl w:val="nil"/>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892" w:type="dxa"/>
            <w:tcBorders>
              <w:tl2br w:val="nil"/>
              <w:tr2bl w:val="nil"/>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1.没有多媒体设备2.实训课排课少3.个别课程老师换得频繁</w:t>
            </w:r>
          </w:p>
        </w:tc>
        <w:tc>
          <w:tcPr>
            <w:tcW w:w="2715" w:type="dxa"/>
            <w:tcBorders>
              <w:tl2br w:val="nil"/>
              <w:tr2bl w:val="nil"/>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1.教室安装多媒体设备2.多安排实训课程</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023" w:hRule="atLeast"/>
          <w:jc w:val="center"/>
        </w:trPr>
        <w:tc>
          <w:tcPr>
            <w:tcW w:w="1266" w:type="dxa"/>
            <w:tcBorders>
              <w:tl2br w:val="nil"/>
              <w:tr2bl w:val="nil"/>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实习实训满意度</w:t>
            </w:r>
          </w:p>
        </w:tc>
        <w:tc>
          <w:tcPr>
            <w:tcW w:w="912"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61%</w:t>
            </w:r>
          </w:p>
        </w:tc>
        <w:tc>
          <w:tcPr>
            <w:tcW w:w="829"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38%</w:t>
            </w:r>
          </w:p>
        </w:tc>
        <w:tc>
          <w:tcPr>
            <w:tcW w:w="967"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1%</w:t>
            </w:r>
          </w:p>
        </w:tc>
        <w:tc>
          <w:tcPr>
            <w:tcW w:w="1892"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1.实训设备数量无法满足教学2.有些设备较老旧3.设备维修有时不及时</w:t>
            </w:r>
          </w:p>
        </w:tc>
        <w:tc>
          <w:tcPr>
            <w:tcW w:w="2715"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1.多建一些微机房</w:t>
            </w:r>
          </w:p>
          <w:p>
            <w:pPr>
              <w:jc w:val="center"/>
              <w:rPr>
                <w:rFonts w:asciiTheme="minorEastAsia" w:hAnsiTheme="minorEastAsia" w:cstheme="minorEastAsia"/>
                <w:sz w:val="24"/>
              </w:rPr>
            </w:pPr>
            <w:r>
              <w:rPr>
                <w:rFonts w:hint="eastAsia" w:asciiTheme="minorEastAsia" w:hAnsiTheme="minorEastAsia" w:cstheme="minorEastAsia"/>
                <w:sz w:val="24"/>
              </w:rPr>
              <w:t>2.更换一些老旧设备</w:t>
            </w:r>
          </w:p>
          <w:p>
            <w:pPr>
              <w:jc w:val="center"/>
              <w:rPr>
                <w:rFonts w:asciiTheme="minorEastAsia" w:hAnsiTheme="minorEastAsia" w:cstheme="minorEastAsia"/>
                <w:color w:val="FF0000"/>
                <w:sz w:val="24"/>
              </w:rPr>
            </w:pPr>
            <w:r>
              <w:rPr>
                <w:rFonts w:hint="eastAsia" w:asciiTheme="minorEastAsia" w:hAnsiTheme="minorEastAsia" w:cstheme="minorEastAsia"/>
                <w:sz w:val="24"/>
              </w:rPr>
              <w:t>3.教学实训设备及时维修</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023" w:hRule="atLeast"/>
          <w:jc w:val="center"/>
        </w:trPr>
        <w:tc>
          <w:tcPr>
            <w:tcW w:w="1266"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对校园文化与社团活动满意度</w:t>
            </w:r>
          </w:p>
        </w:tc>
        <w:tc>
          <w:tcPr>
            <w:tcW w:w="912"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宋体" w:hAnsi="宋体" w:cs="宋体"/>
                <w:color w:val="000000"/>
                <w:sz w:val="24"/>
              </w:rPr>
              <w:t>92%</w:t>
            </w:r>
          </w:p>
        </w:tc>
        <w:tc>
          <w:tcPr>
            <w:tcW w:w="829"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宋体" w:hAnsi="宋体" w:cs="宋体"/>
                <w:color w:val="000000"/>
                <w:sz w:val="24"/>
              </w:rPr>
              <w:t>7%</w:t>
            </w:r>
          </w:p>
        </w:tc>
        <w:tc>
          <w:tcPr>
            <w:tcW w:w="967"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宋体" w:hAnsi="宋体" w:cs="宋体"/>
                <w:color w:val="000000"/>
                <w:sz w:val="24"/>
              </w:rPr>
              <w:t>1%</w:t>
            </w:r>
          </w:p>
        </w:tc>
        <w:tc>
          <w:tcPr>
            <w:tcW w:w="1892"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宋体" w:hAnsi="宋体" w:cs="宋体"/>
                <w:color w:val="000000"/>
                <w:sz w:val="24"/>
              </w:rPr>
              <w:t>社团过少，社团活动不够丰富</w:t>
            </w:r>
          </w:p>
        </w:tc>
        <w:tc>
          <w:tcPr>
            <w:tcW w:w="2715"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宋体" w:hAnsi="宋体" w:cs="宋体"/>
                <w:color w:val="000000"/>
                <w:sz w:val="24"/>
              </w:rPr>
              <w:t>多开展社团活动、加强社团管理制度的建设</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023" w:hRule="atLeast"/>
          <w:jc w:val="center"/>
        </w:trPr>
        <w:tc>
          <w:tcPr>
            <w:tcW w:w="1266" w:type="dxa"/>
            <w:tcBorders>
              <w:tl2br w:val="nil"/>
              <w:tr2bl w:val="nil"/>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对生活满意度</w:t>
            </w:r>
          </w:p>
        </w:tc>
        <w:tc>
          <w:tcPr>
            <w:tcW w:w="912"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宋体" w:hAnsi="宋体" w:cs="宋体"/>
                <w:sz w:val="24"/>
              </w:rPr>
              <w:t>85%</w:t>
            </w:r>
          </w:p>
        </w:tc>
        <w:tc>
          <w:tcPr>
            <w:tcW w:w="829"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宋体" w:hAnsi="宋体" w:cs="宋体"/>
                <w:sz w:val="24"/>
              </w:rPr>
              <w:t>13%</w:t>
            </w:r>
          </w:p>
        </w:tc>
        <w:tc>
          <w:tcPr>
            <w:tcW w:w="967"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宋体" w:hAnsi="宋体" w:cs="宋体"/>
                <w:sz w:val="24"/>
              </w:rPr>
              <w:t>2%</w:t>
            </w:r>
          </w:p>
        </w:tc>
        <w:tc>
          <w:tcPr>
            <w:tcW w:w="1892"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宋体" w:hAnsi="宋体" w:cs="宋体"/>
                <w:color w:val="000000"/>
                <w:sz w:val="24"/>
              </w:rPr>
              <w:t>1.食堂饭菜偏贵、品种较少2.宿舍经常断电断热水</w:t>
            </w:r>
          </w:p>
        </w:tc>
        <w:tc>
          <w:tcPr>
            <w:tcW w:w="2715" w:type="dxa"/>
            <w:tcBorders>
              <w:tl2br w:val="nil"/>
              <w:tr2bl w:val="nil"/>
            </w:tcBorders>
            <w:shd w:val="clear" w:color="auto" w:fill="F1F1F1"/>
            <w:vAlign w:val="center"/>
          </w:tcPr>
          <w:p>
            <w:pPr>
              <w:jc w:val="center"/>
              <w:rPr>
                <w:rFonts w:ascii="宋体" w:hAnsi="宋体" w:cs="宋体"/>
                <w:color w:val="000000"/>
                <w:sz w:val="24"/>
              </w:rPr>
            </w:pPr>
            <w:r>
              <w:rPr>
                <w:rFonts w:hint="eastAsia" w:ascii="宋体" w:hAnsi="宋体" w:cs="宋体"/>
                <w:color w:val="000000"/>
                <w:sz w:val="24"/>
              </w:rPr>
              <w:t>1.改善食堂伙食</w:t>
            </w:r>
          </w:p>
          <w:p>
            <w:pPr>
              <w:jc w:val="center"/>
              <w:rPr>
                <w:rFonts w:asciiTheme="minorEastAsia" w:hAnsiTheme="minorEastAsia" w:cstheme="minorEastAsia"/>
                <w:color w:val="FF0000"/>
                <w:sz w:val="24"/>
              </w:rPr>
            </w:pPr>
            <w:r>
              <w:rPr>
                <w:rFonts w:hint="eastAsia" w:ascii="宋体" w:hAnsi="宋体" w:cs="宋体"/>
                <w:color w:val="000000"/>
                <w:sz w:val="24"/>
              </w:rPr>
              <w:t>2.后勤保障要到位，及时维修保修公物</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023" w:hRule="atLeast"/>
          <w:jc w:val="center"/>
        </w:trPr>
        <w:tc>
          <w:tcPr>
            <w:tcW w:w="1266" w:type="dxa"/>
            <w:tcBorders>
              <w:tl2br w:val="nil"/>
              <w:tr2bl w:val="nil"/>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对校园安全满意度</w:t>
            </w:r>
          </w:p>
        </w:tc>
        <w:tc>
          <w:tcPr>
            <w:tcW w:w="912"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Theme="minorEastAsia" w:hAnsiTheme="minorEastAsia" w:cstheme="minorEastAsia"/>
                <w:color w:val="FF0000"/>
                <w:sz w:val="24"/>
              </w:rPr>
              <w:t>94</w:t>
            </w:r>
            <w:r>
              <w:rPr>
                <w:rFonts w:hint="eastAsia" w:asciiTheme="minorEastAsia" w:hAnsiTheme="minorEastAsia" w:cstheme="minorEastAsia"/>
                <w:color w:val="FF0000"/>
                <w:sz w:val="24"/>
                <w:lang w:val="en-US" w:eastAsia="zh-CN"/>
              </w:rPr>
              <w:t>.1</w:t>
            </w:r>
            <w:r>
              <w:rPr>
                <w:rFonts w:hint="eastAsia" w:asciiTheme="minorEastAsia" w:hAnsiTheme="minorEastAsia" w:cstheme="minorEastAsia"/>
                <w:color w:val="FF0000"/>
                <w:sz w:val="24"/>
              </w:rPr>
              <w:t>%</w:t>
            </w:r>
          </w:p>
        </w:tc>
        <w:tc>
          <w:tcPr>
            <w:tcW w:w="829"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Theme="minorEastAsia" w:hAnsiTheme="minorEastAsia" w:cstheme="minorEastAsia"/>
                <w:color w:val="FF0000"/>
                <w:sz w:val="24"/>
                <w:lang w:val="en-US" w:eastAsia="zh-CN"/>
              </w:rPr>
              <w:t>5.9</w:t>
            </w:r>
            <w:r>
              <w:rPr>
                <w:rFonts w:hint="eastAsia" w:asciiTheme="minorEastAsia" w:hAnsiTheme="minorEastAsia" w:cstheme="minorEastAsia"/>
                <w:color w:val="FF0000"/>
                <w:sz w:val="24"/>
              </w:rPr>
              <w:t>%</w:t>
            </w:r>
          </w:p>
        </w:tc>
        <w:tc>
          <w:tcPr>
            <w:tcW w:w="967"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w:t>
            </w:r>
          </w:p>
        </w:tc>
        <w:tc>
          <w:tcPr>
            <w:tcW w:w="1892"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存在失窃问题</w:t>
            </w:r>
          </w:p>
        </w:tc>
        <w:tc>
          <w:tcPr>
            <w:tcW w:w="2715" w:type="dxa"/>
            <w:tcBorders>
              <w:tl2br w:val="nil"/>
              <w:tr2bl w:val="nil"/>
            </w:tcBorders>
            <w:shd w:val="clear" w:color="auto" w:fill="9CC2E5"/>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加强安全教育，加大人防技防力度</w:t>
            </w:r>
          </w:p>
        </w:tc>
      </w:tr>
      <w:tr>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023" w:hRule="atLeast"/>
          <w:jc w:val="center"/>
        </w:trPr>
        <w:tc>
          <w:tcPr>
            <w:tcW w:w="1266" w:type="dxa"/>
            <w:tcBorders>
              <w:tl2br w:val="nil"/>
              <w:tr2bl w:val="nil"/>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毕业生对学校满意度</w:t>
            </w:r>
          </w:p>
        </w:tc>
        <w:tc>
          <w:tcPr>
            <w:tcW w:w="912"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96%</w:t>
            </w:r>
          </w:p>
        </w:tc>
        <w:tc>
          <w:tcPr>
            <w:tcW w:w="829" w:type="dxa"/>
            <w:tcBorders>
              <w:tl2br w:val="nil"/>
              <w:tr2bl w:val="nil"/>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c>
          <w:tcPr>
            <w:tcW w:w="967"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w:t>
            </w:r>
          </w:p>
        </w:tc>
        <w:tc>
          <w:tcPr>
            <w:tcW w:w="1892"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1.新校园硬件设施不够完善2.社团活动不够丰富</w:t>
            </w:r>
          </w:p>
        </w:tc>
        <w:tc>
          <w:tcPr>
            <w:tcW w:w="2715" w:type="dxa"/>
            <w:tcBorders>
              <w:tl2br w:val="nil"/>
              <w:tr2bl w:val="nil"/>
            </w:tcBorders>
            <w:shd w:val="clear" w:color="auto" w:fill="F1F1F1"/>
            <w:vAlign w:val="center"/>
          </w:tcPr>
          <w:p>
            <w:pPr>
              <w:jc w:val="center"/>
              <w:rPr>
                <w:rFonts w:asciiTheme="minorEastAsia" w:hAnsiTheme="minorEastAsia" w:cstheme="minorEastAsia"/>
                <w:color w:val="FF0000"/>
                <w:sz w:val="24"/>
              </w:rPr>
            </w:pPr>
            <w:r>
              <w:rPr>
                <w:rFonts w:hint="eastAsia" w:asciiTheme="minorEastAsia" w:hAnsiTheme="minorEastAsia" w:cstheme="minorEastAsia"/>
                <w:sz w:val="24"/>
              </w:rPr>
              <w:t>1.配齐操场、舞蹈房、图书馆，增加绿化，美化校园环境2.多举办师生文体活动</w:t>
            </w:r>
          </w:p>
        </w:tc>
      </w:tr>
    </w:tbl>
    <w:p>
      <w:pPr>
        <w:pStyle w:val="4"/>
        <w:spacing w:before="156" w:after="156" w:line="500" w:lineRule="exact"/>
        <w:ind w:firstLine="723"/>
        <w:rPr>
          <w:rFonts w:hint="default"/>
        </w:rPr>
      </w:pPr>
      <w:bookmarkStart w:id="38" w:name="_Toc30803"/>
      <w:bookmarkStart w:id="39" w:name="_Toc21902"/>
      <w:bookmarkStart w:id="40" w:name="_Toc2511"/>
      <w:bookmarkStart w:id="41" w:name="_Toc24142"/>
      <w:r>
        <w:t>2.3资助情况</w:t>
      </w:r>
      <w:bookmarkEnd w:id="38"/>
      <w:bookmarkEnd w:id="39"/>
      <w:bookmarkEnd w:id="40"/>
      <w:bookmarkEnd w:id="41"/>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规范学生资助申报认定工作，确保资助工作公正、公平、公开，我校按照上级要求，做到：一是加强政策宣传力度，确保资助工作透明度，二是个人申报，三是班级评议，四是班主任上报，五是资助中心审核，六是学校资助领导小组审批，七是进行公示。本年度免学费落实3583人，助学金落实428人，国家奖学金落实6人。</w:t>
      </w:r>
    </w:p>
    <w:p>
      <w:pPr>
        <w:pStyle w:val="4"/>
        <w:spacing w:before="156" w:after="156" w:line="500" w:lineRule="exact"/>
        <w:ind w:firstLine="723"/>
        <w:rPr>
          <w:rFonts w:hint="default"/>
        </w:rPr>
      </w:pPr>
      <w:bookmarkStart w:id="42" w:name="_Toc29786"/>
      <w:bookmarkStart w:id="43" w:name="_Toc9109"/>
      <w:bookmarkStart w:id="44" w:name="_Toc30880"/>
      <w:bookmarkStart w:id="45" w:name="_Toc2495"/>
      <w:r>
        <w:t>2.4 就业质量</w:t>
      </w:r>
      <w:bookmarkEnd w:id="42"/>
      <w:bookmarkEnd w:id="43"/>
      <w:bookmarkEnd w:id="44"/>
      <w:bookmarkEnd w:id="45"/>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2019年毕业生人数945人。近几年，我校学生就业形势持续向好，所有专业学生就业率均达100%，其中对口就业率均高于90%。学生初次就业起薪平均达3000元/月，起薪与上年变化不大，具体如下表所示：</w:t>
      </w:r>
    </w:p>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表8：毕业生就业质量一览表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97"/>
        <w:gridCol w:w="1434"/>
        <w:gridCol w:w="1105"/>
        <w:gridCol w:w="1671"/>
        <w:gridCol w:w="95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jc w:val="center"/>
              <w:rPr>
                <w:rFonts w:asciiTheme="minorEastAsia" w:hAnsiTheme="minorEastAsia" w:cstheme="minorEastAsia"/>
                <w:b/>
                <w:bCs/>
                <w:sz w:val="24"/>
              </w:rPr>
            </w:pPr>
            <w:bookmarkStart w:id="46" w:name="_Toc5711"/>
            <w:bookmarkStart w:id="47" w:name="_Toc7473"/>
            <w:bookmarkStart w:id="48" w:name="_Toc28287"/>
            <w:r>
              <w:rPr>
                <w:rFonts w:hint="eastAsia" w:asciiTheme="minorEastAsia" w:hAnsiTheme="minorEastAsia" w:cstheme="minorEastAsia"/>
                <w:b/>
                <w:bCs/>
                <w:sz w:val="24"/>
              </w:rPr>
              <w:t>年度</w:t>
            </w:r>
          </w:p>
        </w:tc>
        <w:tc>
          <w:tcPr>
            <w:tcW w:w="1197"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毕业生</w:t>
            </w:r>
          </w:p>
          <w:p>
            <w:pPr>
              <w:jc w:val="center"/>
              <w:rPr>
                <w:rFonts w:asciiTheme="minorEastAsia" w:hAnsiTheme="minorEastAsia" w:cstheme="minorEastAsia"/>
                <w:b/>
                <w:bCs/>
                <w:sz w:val="24"/>
              </w:rPr>
            </w:pPr>
            <w:r>
              <w:rPr>
                <w:rFonts w:hint="eastAsia" w:asciiTheme="minorEastAsia" w:hAnsiTheme="minorEastAsia" w:cstheme="minorEastAsia"/>
                <w:b/>
                <w:bCs/>
                <w:sz w:val="24"/>
              </w:rPr>
              <w:t>人数</w:t>
            </w:r>
          </w:p>
        </w:tc>
        <w:tc>
          <w:tcPr>
            <w:tcW w:w="143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就业人数</w:t>
            </w:r>
          </w:p>
        </w:tc>
        <w:tc>
          <w:tcPr>
            <w:tcW w:w="11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就业率</w:t>
            </w:r>
          </w:p>
        </w:tc>
        <w:tc>
          <w:tcPr>
            <w:tcW w:w="167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初次就业</w:t>
            </w:r>
          </w:p>
          <w:p>
            <w:pPr>
              <w:jc w:val="center"/>
              <w:rPr>
                <w:rFonts w:asciiTheme="minorEastAsia" w:hAnsiTheme="minorEastAsia" w:cstheme="minorEastAsia"/>
                <w:b/>
                <w:bCs/>
                <w:sz w:val="24"/>
              </w:rPr>
            </w:pPr>
            <w:r>
              <w:rPr>
                <w:rFonts w:hint="eastAsia" w:asciiTheme="minorEastAsia" w:hAnsiTheme="minorEastAsia" w:cstheme="minorEastAsia"/>
                <w:b/>
                <w:bCs/>
                <w:sz w:val="24"/>
              </w:rPr>
              <w:t>月薪平均值</w:t>
            </w:r>
          </w:p>
        </w:tc>
        <w:tc>
          <w:tcPr>
            <w:tcW w:w="95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升学人数</w:t>
            </w:r>
          </w:p>
        </w:tc>
        <w:tc>
          <w:tcPr>
            <w:tcW w:w="121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5B9BD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升学率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39"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2018</w:t>
            </w:r>
          </w:p>
        </w:tc>
        <w:tc>
          <w:tcPr>
            <w:tcW w:w="1197"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765</w:t>
            </w:r>
          </w:p>
        </w:tc>
        <w:tc>
          <w:tcPr>
            <w:tcW w:w="143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765</w:t>
            </w:r>
          </w:p>
        </w:tc>
        <w:tc>
          <w:tcPr>
            <w:tcW w:w="11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100%</w:t>
            </w:r>
          </w:p>
        </w:tc>
        <w:tc>
          <w:tcPr>
            <w:tcW w:w="167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2900</w:t>
            </w:r>
          </w:p>
        </w:tc>
        <w:tc>
          <w:tcPr>
            <w:tcW w:w="95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0</w:t>
            </w:r>
          </w:p>
        </w:tc>
        <w:tc>
          <w:tcPr>
            <w:tcW w:w="121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1F1F1"/>
            <w:vAlign w:val="center"/>
          </w:tcPr>
          <w:p>
            <w:pPr>
              <w:jc w:val="center"/>
              <w:rPr>
                <w:rFonts w:asciiTheme="minorEastAsia" w:hAnsiTheme="minorEastAsia" w:cstheme="minorEastAsia"/>
                <w:sz w:val="24"/>
              </w:rPr>
            </w:pPr>
            <w:r>
              <w:rPr>
                <w:rFonts w:hint="eastAsia" w:asciiTheme="minorEastAsia" w:hAnsiTheme="minorEastAsia" w:cstheme="min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39"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2019</w:t>
            </w:r>
          </w:p>
        </w:tc>
        <w:tc>
          <w:tcPr>
            <w:tcW w:w="1197"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945</w:t>
            </w:r>
          </w:p>
        </w:tc>
        <w:tc>
          <w:tcPr>
            <w:tcW w:w="143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784</w:t>
            </w:r>
          </w:p>
        </w:tc>
        <w:tc>
          <w:tcPr>
            <w:tcW w:w="11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83%</w:t>
            </w:r>
          </w:p>
        </w:tc>
        <w:tc>
          <w:tcPr>
            <w:tcW w:w="167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3000</w:t>
            </w:r>
          </w:p>
        </w:tc>
        <w:tc>
          <w:tcPr>
            <w:tcW w:w="95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110</w:t>
            </w:r>
          </w:p>
        </w:tc>
        <w:tc>
          <w:tcPr>
            <w:tcW w:w="121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9CC2E5"/>
            <w:vAlign w:val="center"/>
          </w:tcPr>
          <w:p>
            <w:pPr>
              <w:jc w:val="center"/>
              <w:rPr>
                <w:rFonts w:asciiTheme="minorEastAsia" w:hAnsiTheme="minorEastAsia" w:cstheme="minorEastAsia"/>
                <w:sz w:val="24"/>
              </w:rPr>
            </w:pPr>
            <w:r>
              <w:rPr>
                <w:rFonts w:hint="eastAsia" w:asciiTheme="minorEastAsia" w:hAnsiTheme="minorEastAsia" w:cstheme="minorEastAsia"/>
                <w:sz w:val="24"/>
              </w:rPr>
              <w:t>12%</w:t>
            </w:r>
          </w:p>
        </w:tc>
      </w:tr>
    </w:tbl>
    <w:p>
      <w:pPr>
        <w:pStyle w:val="4"/>
        <w:spacing w:before="156" w:after="156" w:line="500" w:lineRule="exact"/>
        <w:ind w:firstLine="723"/>
        <w:rPr>
          <w:rFonts w:hint="default"/>
        </w:rPr>
      </w:pPr>
      <w:bookmarkStart w:id="49" w:name="_Toc31904"/>
      <w:r>
        <w:t>2.5 职业发展</w:t>
      </w:r>
      <w:bookmarkEnd w:id="46"/>
      <w:bookmarkEnd w:id="47"/>
      <w:bookmarkEnd w:id="48"/>
      <w:bookmarkEnd w:id="49"/>
    </w:p>
    <w:p>
      <w:pPr>
        <w:spacing w:line="5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一直以来，学校积极贯彻落实教育部和人社部要求，不断加强学生职业生涯规划和职业指导服务体系建设，开设职业生涯规划课程，配置专业教师授课，不断丰富职业指导的形式，提高职业指导的效果，给学生的自我探索、职业探索提供了广阔平台，拓宽了学生职业认知，增强了学生创新创业意识，促进他们从学生到职业人的转变，提升了学生的就业竞争力。从实习企业反馈的评价来看，近年来，我校学生的学习能力、岗位适应能力、岗位迁移能力、创新创业能力均有显著提高。</w:t>
      </w:r>
    </w:p>
    <w:p>
      <w:pPr>
        <w:pStyle w:val="3"/>
        <w:spacing w:before="312" w:after="312" w:line="500" w:lineRule="exact"/>
      </w:pPr>
      <w:bookmarkStart w:id="50" w:name="_Toc19279"/>
      <w:bookmarkStart w:id="51" w:name="_Toc26434"/>
      <w:bookmarkStart w:id="52" w:name="_Toc16927"/>
      <w:bookmarkStart w:id="53" w:name="_Toc6393"/>
      <w:r>
        <w:rPr>
          <w:rFonts w:hint="eastAsia"/>
        </w:rPr>
        <w:t>3.质量保障措施</w:t>
      </w:r>
      <w:bookmarkEnd w:id="50"/>
      <w:bookmarkEnd w:id="51"/>
      <w:bookmarkEnd w:id="52"/>
      <w:bookmarkEnd w:id="53"/>
    </w:p>
    <w:p>
      <w:pPr>
        <w:pStyle w:val="4"/>
        <w:spacing w:before="156" w:after="156" w:line="500" w:lineRule="exact"/>
        <w:ind w:firstLine="723"/>
        <w:rPr>
          <w:rFonts w:hint="default"/>
        </w:rPr>
      </w:pPr>
      <w:bookmarkStart w:id="54" w:name="_Toc28859"/>
      <w:bookmarkStart w:id="55" w:name="_Toc29433"/>
      <w:bookmarkStart w:id="56" w:name="_Toc9504"/>
      <w:bookmarkStart w:id="57" w:name="_Toc5247"/>
      <w:r>
        <w:t>3.1专业动态调整</w:t>
      </w:r>
      <w:bookmarkEnd w:id="54"/>
      <w:bookmarkEnd w:id="55"/>
      <w:bookmarkEnd w:id="56"/>
      <w:bookmarkEnd w:id="57"/>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牢固树立“质量立校”思想，确立了“以专业建设为引领，注重质量建设和品牌发展，以服务地方经济发展”的专业建设方向，形成了面向社会、贴近需求、多专业并存的专业体系。我校2019年新增3个专业：美容美发与造型（美容）、平面设计、旅游服务与管理专业，招生并开班的专业达到15个。</w:t>
      </w:r>
    </w:p>
    <w:p>
      <w:pPr>
        <w:pStyle w:val="4"/>
        <w:spacing w:before="156" w:after="156" w:line="500" w:lineRule="exact"/>
        <w:ind w:firstLine="723"/>
        <w:rPr>
          <w:rFonts w:hint="default"/>
        </w:rPr>
      </w:pPr>
      <w:bookmarkStart w:id="58" w:name="_Toc22441"/>
      <w:bookmarkStart w:id="59" w:name="_Toc14676"/>
      <w:bookmarkStart w:id="60" w:name="_Toc6615"/>
      <w:bookmarkStart w:id="61" w:name="_Toc15080"/>
      <w:r>
        <w:t>3.2教育教学改革</w:t>
      </w:r>
      <w:bookmarkEnd w:id="58"/>
      <w:bookmarkEnd w:id="59"/>
      <w:bookmarkEnd w:id="60"/>
      <w:bookmarkEnd w:id="61"/>
    </w:p>
    <w:p>
      <w:pPr>
        <w:spacing w:line="500" w:lineRule="exact"/>
        <w:ind w:firstLine="640" w:firstLineChars="200"/>
        <w:rPr>
          <w:rFonts w:ascii="仿宋_GB2312" w:eastAsia="仿宋_GB2312"/>
          <w:sz w:val="32"/>
          <w:szCs w:val="32"/>
        </w:rPr>
      </w:pPr>
      <w:r>
        <w:rPr>
          <w:rFonts w:ascii="仿宋_GB2312" w:eastAsia="仿宋_GB2312"/>
          <w:sz w:val="32"/>
          <w:szCs w:val="32"/>
        </w:rPr>
        <w:t>学校始终坚持以教学为中心，以质量为生命，注重思路引领，优化育人环境，在育人理念上强化</w:t>
      </w:r>
      <w:r>
        <w:rPr>
          <w:rFonts w:hint="eastAsia" w:ascii="仿宋_GB2312" w:eastAsia="仿宋_GB2312"/>
          <w:sz w:val="32"/>
          <w:szCs w:val="32"/>
        </w:rPr>
        <w:t>“</w:t>
      </w:r>
      <w:r>
        <w:rPr>
          <w:rFonts w:ascii="仿宋_GB2312" w:eastAsia="仿宋_GB2312"/>
          <w:sz w:val="32"/>
          <w:szCs w:val="32"/>
        </w:rPr>
        <w:t>人人能成才、行行出状元</w:t>
      </w:r>
      <w:r>
        <w:rPr>
          <w:rFonts w:hint="eastAsia" w:ascii="仿宋_GB2312" w:eastAsia="仿宋_GB2312"/>
          <w:sz w:val="32"/>
          <w:szCs w:val="32"/>
        </w:rPr>
        <w:t>”</w:t>
      </w:r>
      <w:r>
        <w:rPr>
          <w:rFonts w:ascii="仿宋_GB2312" w:eastAsia="仿宋_GB2312"/>
          <w:sz w:val="32"/>
          <w:szCs w:val="32"/>
        </w:rPr>
        <w:t>的成才观，在育人目标上更加突出实践操作能力</w:t>
      </w:r>
      <w:r>
        <w:rPr>
          <w:rFonts w:hint="eastAsia" w:ascii="仿宋_GB2312" w:eastAsia="仿宋_GB2312"/>
          <w:sz w:val="32"/>
          <w:szCs w:val="32"/>
        </w:rPr>
        <w:t>。2019年，学校教育教学改革情况如下：</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（1）课程改革情况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是加强教学研究、校企合作力度，建立专业组，由专业骨干及企业专家共同研究，根据人社部各专业教学大纲、我校实际及企业需求，制定了科学可行的教学计划。加大课程研究和经费投入，进行一体化教学研究和微课开发；二是在加强技能教学的同时，更加重视基础理论课程的学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（2）专业设置情况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为迎合市场需求，2019年，学校在充分调研的基础上调整专业设置，目前共15个专业招有学生办班，分别是模具制造、数控加工、汽车维修、电气自动化设备安装与维修、计算机应用与</w:t>
      </w:r>
      <w:r>
        <w:rPr>
          <w:rFonts w:ascii="仿宋_GB2312" w:eastAsia="仿宋_GB2312"/>
          <w:sz w:val="32"/>
          <w:szCs w:val="32"/>
        </w:rPr>
        <w:t>维修</w:t>
      </w:r>
      <w:r>
        <w:rPr>
          <w:rFonts w:hint="eastAsia" w:ascii="仿宋_GB2312" w:eastAsia="仿宋_GB2312"/>
          <w:sz w:val="32"/>
          <w:szCs w:val="32"/>
        </w:rPr>
        <w:t>、动画制作、电子商务、室内设计、无人机应用技术、会计、幼儿教育、茶艺、美容美发与造型（美容）、平面设计、旅游服务与管理专业。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（3）师资队伍情况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目前，学校共有教师169人，正高职称者4人，副高职称者35人，有硕士研究生18人，高级技师6人，工程师及技师26人，双师型教师40人，教师结构合理，能够满足高技能人才的教学培训工作。2019年，我校教师拼搏进取，取得了非凡的成绩，多次在全国、省级竞赛中获得奖项，目前有江西省首席技师2人，省政府特殊津贴获得</w:t>
      </w:r>
      <w:r>
        <w:rPr>
          <w:rFonts w:ascii="仿宋_GB2312" w:eastAsia="仿宋_GB2312"/>
          <w:sz w:val="32"/>
          <w:szCs w:val="32"/>
        </w:rPr>
        <w:t>者</w:t>
      </w:r>
      <w:r>
        <w:rPr>
          <w:rFonts w:hint="eastAsia" w:ascii="仿宋_GB2312" w:eastAsia="仿宋_GB2312"/>
          <w:sz w:val="32"/>
          <w:szCs w:val="32"/>
        </w:rPr>
        <w:t>1人，江西省“能工巧匠”称号1人，江西省第一届黄炎培职业教育奖获得</w:t>
      </w:r>
      <w:r>
        <w:rPr>
          <w:rFonts w:ascii="仿宋_GB2312" w:eastAsia="仿宋_GB2312"/>
          <w:sz w:val="32"/>
          <w:szCs w:val="32"/>
        </w:rPr>
        <w:t>者</w:t>
      </w:r>
      <w:r>
        <w:rPr>
          <w:rFonts w:hint="eastAsia" w:ascii="仿宋_GB2312" w:eastAsia="仿宋_GB2312"/>
          <w:sz w:val="32"/>
          <w:szCs w:val="32"/>
        </w:rPr>
        <w:t>1人</w:t>
      </w:r>
      <w:r>
        <w:rPr>
          <w:rFonts w:ascii="仿宋_GB2312" w:eastAsia="仿宋_GB2312"/>
          <w:sz w:val="32"/>
          <w:szCs w:val="32"/>
        </w:rPr>
        <w:t>，</w:t>
      </w:r>
      <w:r>
        <w:rPr>
          <w:rFonts w:hint="eastAsia" w:ascii="仿宋_GB2312" w:eastAsia="仿宋_GB2312"/>
          <w:sz w:val="32"/>
          <w:szCs w:val="32"/>
        </w:rPr>
        <w:t>全国模范教师1人，省级大师工作室1个。</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（4）人才培养模式改革情况</w:t>
      </w:r>
    </w:p>
    <w:p>
      <w:pPr>
        <w:spacing w:line="500" w:lineRule="exact"/>
        <w:ind w:firstLine="640" w:firstLineChars="200"/>
        <w:rPr>
          <w:rFonts w:ascii="仿宋_GB2312" w:eastAsia="仿宋_GB2312"/>
          <w:sz w:val="32"/>
          <w:szCs w:val="32"/>
          <w:highlight w:val="yellow"/>
        </w:rPr>
      </w:pPr>
      <w:r>
        <w:rPr>
          <w:rFonts w:hint="eastAsia" w:ascii="仿宋_GB2312" w:eastAsia="仿宋_GB2312"/>
          <w:sz w:val="32"/>
          <w:szCs w:val="32"/>
        </w:rPr>
        <w:t>2019年，学校更加重视思想品质、工匠精神及红色文化教育，把社会主义核心价值观融入校园。人才培养从重技能轻理论向理论与技能并重转变，强化理论指导实践的作用。同时，加强校企合作，增加企业定向班比例，与企业共同制订人才培养方案，强化学生的创新能力、综合能力，培养更适应企业需求的高素质技能人才。</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（5）实训基地建设情况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2019年，学校完成了国家高技能人才培训基地项目建设，包括汽车维修（新能源汽车）、模具制造、电子商务（创新创业基地）3个项目。学校还</w:t>
      </w:r>
      <w:r>
        <w:rPr>
          <w:rFonts w:ascii="仿宋_GB2312" w:eastAsia="仿宋_GB2312"/>
          <w:sz w:val="32"/>
          <w:szCs w:val="32"/>
        </w:rPr>
        <w:t>新建了云机房</w:t>
      </w:r>
      <w:r>
        <w:rPr>
          <w:rFonts w:hint="eastAsia" w:ascii="仿宋_GB2312" w:eastAsia="仿宋_GB2312"/>
          <w:sz w:val="32"/>
          <w:szCs w:val="32"/>
        </w:rPr>
        <w:t>3个。</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（6）教学资源建设情况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2019年，学校加大课程研究和经费投入，进行一体化教学研究和微课开发。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（7）教材选用情况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教材选用依托系部，选用正版教材，由教务科统一采购。</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（8）教学诊断与改进工作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为做好教学诊断与改进工作，我校成立了由校长、党委书记担任组长，其它校领导任副组长、学校中层干部参与的学校领导小组，全面负责教学诊改工作，成立教学诊断与改进工作办公室，制定了《江西省轻工业高级技工学校教学诊断与改进实施方案》（试行），编制了教学诊断与改进数据采集工作参考手册，并按照省厅时间节点要求将诊改数据全部上传至服务器，并已完成了我校部分专业标准和部分课程标准的初稿。</w:t>
      </w:r>
    </w:p>
    <w:p>
      <w:pPr>
        <w:pStyle w:val="4"/>
        <w:spacing w:before="156" w:after="156" w:line="500" w:lineRule="exact"/>
        <w:ind w:firstLine="723"/>
        <w:rPr>
          <w:rFonts w:hint="default"/>
        </w:rPr>
      </w:pPr>
      <w:bookmarkStart w:id="62" w:name="_Toc13997"/>
      <w:bookmarkStart w:id="63" w:name="_Toc7256"/>
      <w:bookmarkStart w:id="64" w:name="_Toc31381"/>
      <w:bookmarkStart w:id="65" w:name="_Toc12146"/>
      <w:r>
        <w:t>3.3教师培养培训</w:t>
      </w:r>
      <w:bookmarkEnd w:id="62"/>
      <w:bookmarkEnd w:id="63"/>
      <w:bookmarkEnd w:id="64"/>
      <w:bookmarkEnd w:id="65"/>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重视教师队伍建设，组织及安排各类培训，努力提升教师综合素质。本年度安排多场教师招聘，新进教师32人（含校企合作企业先后安排的专业技术人员8人），其中硕士研究生9人，在上岗前由教务科组织进行了为期一周的岗前培训。各系积极安排教师参加企业培训，信息科学系安排了培训10人次，智能制造系安排了培训18人次，社会服务系安排了培训4人次；此外，安排教师参加省教育厅组织的教师素质提高培训4人次，安排技能</w:t>
      </w:r>
      <w:r>
        <w:rPr>
          <w:rFonts w:ascii="仿宋_GB2312" w:hAnsi="仿宋_GB2312" w:eastAsia="仿宋_GB2312" w:cs="仿宋_GB2312"/>
          <w:sz w:val="32"/>
          <w:szCs w:val="32"/>
        </w:rPr>
        <w:t>鉴定</w:t>
      </w:r>
      <w:r>
        <w:rPr>
          <w:rFonts w:hint="eastAsia" w:ascii="仿宋_GB2312" w:hAnsi="仿宋_GB2312" w:eastAsia="仿宋_GB2312" w:cs="仿宋_GB2312"/>
          <w:sz w:val="32"/>
          <w:szCs w:val="32"/>
        </w:rPr>
        <w:t>高级考评员培训8人次，安排省教学诊改培训4人次；邀请专家到校组织教师参加培训135人次。</w:t>
      </w:r>
    </w:p>
    <w:p>
      <w:pPr>
        <w:pStyle w:val="4"/>
        <w:spacing w:before="156" w:after="156" w:line="500" w:lineRule="exact"/>
        <w:ind w:firstLine="723"/>
        <w:rPr>
          <w:rFonts w:hint="default"/>
        </w:rPr>
      </w:pPr>
      <w:bookmarkStart w:id="66" w:name="_Toc30609"/>
      <w:bookmarkStart w:id="67" w:name="_Toc16466"/>
      <w:bookmarkStart w:id="68" w:name="_Toc20997"/>
      <w:bookmarkStart w:id="69" w:name="_Toc22352"/>
      <w:r>
        <w:t>3.4规范管理情况</w:t>
      </w:r>
      <w:bookmarkEnd w:id="66"/>
      <w:bookmarkEnd w:id="67"/>
      <w:bookmarkEnd w:id="68"/>
      <w:bookmarkEnd w:id="69"/>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3.4.1教学管理</w:t>
      </w:r>
    </w:p>
    <w:p>
      <w:pPr>
        <w:spacing w:line="500" w:lineRule="exact"/>
        <w:ind w:firstLine="640" w:firstLineChars="200"/>
        <w:rPr>
          <w:rFonts w:eastAsia="仿宋_GB2312"/>
        </w:rPr>
      </w:pPr>
      <w:r>
        <w:rPr>
          <w:rFonts w:hint="eastAsia" w:ascii="仿宋_GB2312" w:hAnsi="仿宋_GB2312" w:eastAsia="仿宋_GB2312" w:cs="仿宋_GB2312"/>
          <w:sz w:val="32"/>
          <w:szCs w:val="32"/>
        </w:rPr>
        <w:t>为规范教学管理，提升教学质量，2019年，学校制定了《学生毕业设计（论文）管理办法》《校、系二级教学管理实施方案》《教师教学工作规范（试行）》《教学事故认定与处罚办法（试行）》《校内实习实训室管理条例（试行）》等9项教学管理制度，保证教学工作有序进行。同时，学校以教学诊断与改进为核心，抓住质量管理体系、状态数据平台两个重点，建设完善质量管理体系，提升内部质量管理体系的效能，通过状态数据平台的建设与数据采集分析，强化学校质量监控体系的作用。初步制定了各系部的学科专业建设标准。</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3.4.2学生管理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不断强化管理责任意识，形成校长、分管领导、学生科、保卫科、班主任、学生会多层次立体学生管理模式；形成领导值周检查机制，每周由一名校领导带领二名中层干部，对全校的教学、学生管理、卫生、安保、课外活动等情况进行检查，晚上值班组组长要求住校，学生科至少一名值日人员守夜，如发生临时突发事件，必须第一时间到现场配合值周领导一起解决。学生科不断完善学生管理制度，对纪律、卫生管理条例不断进行修改，符合学生实际情况，深入推进校园“8S”管理，学生科积极组织班主任开展一系列主题班会教育活动。制定以学生管理制度为主要内容的学生手册，《学生综合品行考核办法》人手一册，加强制度学习，以制度规范管理；加强常规检查，强化规范养成教育；加强德育活动的组织开展，以活动规范习惯；加强班主任队伍培训管理，制定《轻工技校班主任选聘、培养与考核方案》进一步提升班主任规范管理能力。通过平时督查、定期检查等形式，狠抓学生管理各项规章制度的贯彻落实，定期形成督查通报，每月对班级扣分情况和考核结果进行公示，有力保障各项制度的全面实行。</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3.4.3财务管理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财务工作稳步推进。一是针对学校情况，完善了相关财务管理制度，出台了新的财务管理暂行规定，拟定了学校内部控制制度，制定了差旅报销制度、票据管理制度和收费制度，还出台了学校资产管理及联合采购制度。二是进一步规范各项业务流程，对各项工作的各个环节和各项业务支付，严格按照有关制度执行办理，保证有章可依、有章必依。三是加强财务管理队伍建设，组织财务人员参加新会计制度等业务培训，明确各岗位职责。</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3.4.4安全管理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省教育厅要求，强化安全教育管理机制，牢固树立“安全第一、预防为主”的思想，进一步落实安全教育全员化、管理队伍专业化、安全教育课程化的安全教育管理机制；落实安全责任，成立了以校长为核心的学校安全工作领导小组，并与各科室按照“一岗双责”要求层层签订安全工作责任书；加强督查，定期开展安全专项检查和整治活动；做好门卫值班、校园治安巡逻等内部安全管理制度的落实，严格执行24小时值班巡逻制度，确保管理上不留死角、不留空档；加强学校消防安全管理，制定和实施消防工作预案，落实火灾隐患的检查、整治措施；加强对学生防溺水教育和集体活动的安全管理，严禁学生私自到江河、湖泊、水塘等场所游泳；建立应急工作预案，增强对突发事故的防范和应急处理能力。2019年，学校消防安全、食品安全、学生人身安全等均未发生事故。</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3.4.5后勤管理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后勤管理工作，为了改善学生的学习生活环境，每个学生寝室都安装了空调，在教室、寝室、实习场地安装了共46台直饮水机，解决师生喝水问题。保障学校的水电正常运转，及时抢修地下水管爆裂故障，改造男生寝室地下给水管，增大了给水管的管径，彻底解决了男生寝室高层上水问题。对报修的其它水电故障能及时修理到位。稳定食堂饭菜价格，在饭菜质量不变的情况下，保证了师生的正常就餐。同时，严格抓好政府采购工作。</w:t>
      </w:r>
    </w:p>
    <w:p>
      <w:pPr>
        <w:pStyle w:val="4"/>
        <w:spacing w:before="156" w:after="156" w:line="500" w:lineRule="exact"/>
        <w:ind w:firstLine="723"/>
        <w:rPr>
          <w:rFonts w:hint="default"/>
        </w:rPr>
      </w:pPr>
      <w:bookmarkStart w:id="70" w:name="_Toc1869"/>
      <w:bookmarkStart w:id="71" w:name="_Toc26892"/>
      <w:bookmarkStart w:id="72" w:name="_Toc16189"/>
      <w:bookmarkStart w:id="73" w:name="_Toc256"/>
      <w:r>
        <w:t>3.5德育工作情况</w:t>
      </w:r>
      <w:bookmarkEnd w:id="70"/>
      <w:bookmarkEnd w:id="71"/>
      <w:bookmarkEnd w:id="72"/>
      <w:bookmarkEnd w:id="73"/>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3.5.1德育课实施情况</w:t>
      </w:r>
    </w:p>
    <w:p>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学校非常重视思想政治教育，在教学上开满开足德育课，共开设了德育1（《道德法津与人生》）、德育2（《经济与政治常识》）、德育3（《职业道德与职业指导》）、工匠精神、红色文化、心理健康、安全教育、职业生涯规划等课程。</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3.5.2校园文化建设</w:t>
      </w:r>
    </w:p>
    <w:p>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学校充分发挥校内媒介文化育人的功能，传播校园正能量。利用校园广播、橱窗、墙报等加大宣传力度，结合全年各重要节日节点营造积极、阳光、向上的校园氛围；利用“两微一站”等新媒体平台，报道学校及职业教育新闻，外树形象，内聚人心。同时，还积极打造校园活动特色，弘扬中华传统，传承红色基因，成功举办了校园才艺大赛、主持人大赛、轻校好声音、迎新晚会、新中国成立七十周年庆祝晚会、十八岁成人礼、红歌合唱比赛、元旦文艺汇演等一系列的活动，为学生提供展示个性，发挥特长的舞台。我们不断提升学校的文化内涵，已经形成了自己的活动品牌，做到月月有活动，周周有排练。这些活动在我校形成一股强大的力量，推动我校校园文化的发展，使学生的人文素养和思想道德素质在活动中得到了熏陶和提升。</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3.5.3文明风采活动开展情况</w:t>
      </w:r>
    </w:p>
    <w:p>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学校积极参加2019年江西省中等职业学校“文明风采”活动评选，上交的四个类别的4件作品均获得优秀作品奖。下半年，学校还积极组织学生参与江西省2019-2020学年中等职业学校“文明风采”活动，上报6类作品，共6件。</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3.5.4社团活动</w:t>
      </w:r>
    </w:p>
    <w:p>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学校社团以“促进学生全面发展，培养个性特长，提高综合能力素质”为宗旨，根据学生的兴趣和发展的需要，分为文学、艺术、体育、社交公益四大类，其中文学类社团包括动漫社等，艺术类社团包括吉他社、爵士舞社、曳步舞社等，体育类社团包括羽毛球社、篮球社、滑板社等，社交公益类社团包括爱心社等。近年来，我校规范社团管理，完善社团组织建设，扩大社团种类，更加有序地开展社团活动，并取得了可喜的成绩。其中，爱心社被江西省宜春市希望之家志愿者协会评为“2019年优秀爱心社”。</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3.5.5团学组织建设及活动</w:t>
      </w:r>
    </w:p>
    <w:p>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共青团江西省轻工业高级技工学校委员会是学校开展学生思想政治工作的重要载体，在组织管理上，我们形成了学校团委、系部团总支、班级团支部三级委员会联合管理体系，加强学生团委干部队伍建设。我们还坚持每周一次的团委委员会和每周一次的团支书例会，并定期召开全校团支部书记会议，全面提升学生团委干部队伍的工作效率，充分发挥共青团组织联系青年的桥梁作用。志愿者活动、社团活动、文艺活动常态化开展。围绕学校中心工作，以育人为目的，团委工作在培养学生“自我教育”、“自我管理”、“自我服务”的意识中顺利开展。</w:t>
      </w:r>
    </w:p>
    <w:p>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我校学生会具备较完善的组织结构，下设纪律部、卫生部、管理部、学习部、治保部、生活部、膳食委员会7个部门。各部门职责清晰，分工明确，为维护学校秩序稳定、服务师生做出了重要贡献。</w:t>
      </w:r>
    </w:p>
    <w:p>
      <w:pPr>
        <w:pStyle w:val="4"/>
        <w:spacing w:before="156" w:after="156" w:line="500" w:lineRule="exact"/>
        <w:ind w:firstLine="723"/>
        <w:rPr>
          <w:rFonts w:hint="default"/>
        </w:rPr>
      </w:pPr>
      <w:bookmarkStart w:id="74" w:name="_Toc7000"/>
      <w:bookmarkStart w:id="75" w:name="_Toc13693"/>
      <w:bookmarkStart w:id="76" w:name="_Toc30408"/>
      <w:bookmarkStart w:id="77" w:name="_Toc12924"/>
      <w:r>
        <w:t>3.6党建情况</w:t>
      </w:r>
      <w:bookmarkEnd w:id="74"/>
      <w:bookmarkEnd w:id="75"/>
      <w:bookmarkEnd w:id="76"/>
      <w:bookmarkEnd w:id="77"/>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学校党委在省委教育工委的正确领导下和关心支持下，深入学习贯彻习近平新时代中国特色社会主义思想和党的十九大、十九届二中、三中、四中全会精神，把</w:t>
      </w:r>
      <w:r>
        <w:rPr>
          <w:rFonts w:ascii="仿宋_GB2312" w:hAnsi="仿宋_GB2312" w:eastAsia="仿宋_GB2312" w:cs="仿宋_GB2312"/>
          <w:kern w:val="0"/>
          <w:sz w:val="32"/>
          <w:szCs w:val="32"/>
        </w:rPr>
        <w:t>党的政治建设摆在首位，</w:t>
      </w:r>
      <w:r>
        <w:rPr>
          <w:rFonts w:hint="eastAsia" w:ascii="仿宋_GB2312" w:hAnsi="仿宋_GB2312" w:eastAsia="仿宋_GB2312" w:cs="仿宋_GB2312"/>
          <w:kern w:val="0"/>
          <w:sz w:val="32"/>
          <w:szCs w:val="32"/>
        </w:rPr>
        <w:t>以服务学校改革</w:t>
      </w:r>
      <w:r>
        <w:rPr>
          <w:rFonts w:ascii="仿宋_GB2312" w:hAnsi="仿宋_GB2312" w:eastAsia="仿宋_GB2312" w:cs="仿宋_GB2312"/>
          <w:kern w:val="0"/>
          <w:sz w:val="32"/>
          <w:szCs w:val="32"/>
        </w:rPr>
        <w:t>发展</w:t>
      </w:r>
      <w:r>
        <w:rPr>
          <w:rFonts w:hint="eastAsia" w:ascii="仿宋_GB2312" w:hAnsi="仿宋_GB2312" w:eastAsia="仿宋_GB2312" w:cs="仿宋_GB2312"/>
          <w:kern w:val="0"/>
          <w:sz w:val="32"/>
          <w:szCs w:val="32"/>
        </w:rPr>
        <w:t>为中心，以队伍建设为抓手，全面落实新时代党的建设总要求，全面加强党支部思想、组织、作风、制度和党风廉政建设，有力地推进了学校各项事业高</w:t>
      </w:r>
      <w:r>
        <w:rPr>
          <w:rFonts w:ascii="仿宋_GB2312" w:hAnsi="仿宋_GB2312" w:eastAsia="仿宋_GB2312" w:cs="仿宋_GB2312"/>
          <w:kern w:val="0"/>
          <w:sz w:val="32"/>
          <w:szCs w:val="32"/>
        </w:rPr>
        <w:t>质量内涵式发展</w:t>
      </w:r>
      <w:r>
        <w:rPr>
          <w:rFonts w:hint="eastAsia" w:ascii="仿宋_GB2312" w:hAnsi="仿宋_GB2312" w:eastAsia="仿宋_GB2312" w:cs="仿宋_GB2312"/>
          <w:kern w:val="0"/>
          <w:sz w:val="32"/>
          <w:szCs w:val="32"/>
        </w:rPr>
        <w:t>。学校成立党委，下辖三个党支部，现有党员61名，积极分子2人，党员中女党员13人，少数民族党员1人，35岁及以下党员9人。</w:t>
      </w:r>
    </w:p>
    <w:p>
      <w:pPr>
        <w:spacing w:line="5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（1）强化责任落实，推动全面从严治党向纵深发展</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w:t>
      </w:r>
      <w:r>
        <w:rPr>
          <w:rFonts w:ascii="仿宋_GB2312" w:hAnsi="仿宋_GB2312" w:eastAsia="仿宋_GB2312" w:cs="仿宋_GB2312"/>
          <w:kern w:val="0"/>
          <w:sz w:val="32"/>
          <w:szCs w:val="32"/>
        </w:rPr>
        <w:t>习近平新时代中国特色社会主义思想为指导，</w:t>
      </w:r>
      <w:r>
        <w:rPr>
          <w:rFonts w:hint="eastAsia" w:ascii="仿宋_GB2312" w:hAnsi="仿宋_GB2312" w:eastAsia="仿宋_GB2312" w:cs="仿宋_GB2312"/>
          <w:kern w:val="0"/>
          <w:sz w:val="32"/>
          <w:szCs w:val="32"/>
        </w:rPr>
        <w:t>围绕新时代党的建设总要求，学校党委认真按照党建工作的相关要求，制定年度党建工作要点并印发支部，认真组织落实党委党内政治生活和加强党员教育管理，坚持党建工作和业务工作同部署、同落实、同考核，确保工作有条理，有成效。党委书记履行第一责任人职责，坚持带头统筹谋划党建任务和工作目标，党委成员积极配合、分工合作，做到思想上同心、目标上同向、工作上同力。分管领导认真履行“一岗双责”。严格落实党风廉政建设责任制，明确职责分工，夯实工作责任，做到人人头上有担子、个个身上有责任。坚持党委中心组学习</w:t>
      </w:r>
      <w:r>
        <w:rPr>
          <w:rFonts w:ascii="仿宋_GB2312" w:hAnsi="仿宋_GB2312" w:eastAsia="仿宋_GB2312" w:cs="仿宋_GB2312"/>
          <w:kern w:val="0"/>
          <w:sz w:val="32"/>
          <w:szCs w:val="32"/>
        </w:rPr>
        <w:t>制度</w:t>
      </w:r>
      <w:r>
        <w:rPr>
          <w:rFonts w:hint="eastAsia" w:ascii="仿宋_GB2312" w:hAnsi="仿宋_GB2312" w:eastAsia="仿宋_GB2312" w:cs="仿宋_GB2312"/>
          <w:kern w:val="0"/>
          <w:sz w:val="32"/>
          <w:szCs w:val="32"/>
        </w:rPr>
        <w:t>、民主生活会规定、“三会一课”等党</w:t>
      </w:r>
      <w:r>
        <w:rPr>
          <w:rFonts w:ascii="仿宋_GB2312" w:hAnsi="仿宋_GB2312" w:eastAsia="仿宋_GB2312" w:cs="仿宋_GB2312"/>
          <w:kern w:val="0"/>
          <w:sz w:val="32"/>
          <w:szCs w:val="32"/>
        </w:rPr>
        <w:t>内</w:t>
      </w:r>
      <w:r>
        <w:rPr>
          <w:rFonts w:hint="eastAsia" w:ascii="仿宋_GB2312" w:hAnsi="仿宋_GB2312" w:eastAsia="仿宋_GB2312" w:cs="仿宋_GB2312"/>
          <w:kern w:val="0"/>
          <w:sz w:val="32"/>
          <w:szCs w:val="32"/>
        </w:rPr>
        <w:t>基本制度，加强</w:t>
      </w:r>
      <w:r>
        <w:rPr>
          <w:rFonts w:ascii="仿宋_GB2312" w:hAnsi="仿宋_GB2312" w:eastAsia="仿宋_GB2312" w:cs="仿宋_GB2312"/>
          <w:kern w:val="0"/>
          <w:sz w:val="32"/>
          <w:szCs w:val="32"/>
        </w:rPr>
        <w:t>过程监督和管理，</w:t>
      </w:r>
      <w:r>
        <w:rPr>
          <w:rFonts w:hint="eastAsia" w:ascii="仿宋_GB2312" w:hAnsi="仿宋_GB2312" w:eastAsia="仿宋_GB2312" w:cs="仿宋_GB2312"/>
          <w:kern w:val="0"/>
          <w:sz w:val="32"/>
          <w:szCs w:val="32"/>
        </w:rPr>
        <w:t>确保</w:t>
      </w:r>
      <w:r>
        <w:rPr>
          <w:rFonts w:ascii="仿宋_GB2312" w:hAnsi="仿宋_GB2312" w:eastAsia="仿宋_GB2312" w:cs="仿宋_GB2312"/>
          <w:kern w:val="0"/>
          <w:sz w:val="32"/>
          <w:szCs w:val="32"/>
        </w:rPr>
        <w:t>全面从严治党落地见效</w:t>
      </w:r>
      <w:r>
        <w:rPr>
          <w:rFonts w:hint="eastAsia" w:ascii="仿宋_GB2312" w:hAnsi="仿宋_GB2312" w:eastAsia="仿宋_GB2312" w:cs="仿宋_GB2312"/>
          <w:kern w:val="0"/>
          <w:sz w:val="32"/>
          <w:szCs w:val="32"/>
        </w:rPr>
        <w:t>。</w:t>
      </w:r>
    </w:p>
    <w:p>
      <w:pPr>
        <w:spacing w:line="5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（2）增强理论武装，实现最好成效</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我校作为第二批开展“不忘初心，牢记使命”主题教育单位，党委牢牢把握</w:t>
      </w:r>
      <w:r>
        <w:rPr>
          <w:rFonts w:ascii="仿宋_GB2312" w:hAnsi="仿宋_GB2312" w:eastAsia="仿宋_GB2312" w:cs="仿宋_GB2312"/>
          <w:kern w:val="0"/>
          <w:sz w:val="32"/>
          <w:szCs w:val="32"/>
        </w:rPr>
        <w:t>目标任务，实现最好效果</w:t>
      </w:r>
      <w:r>
        <w:rPr>
          <w:rFonts w:hint="eastAsia" w:ascii="仿宋_GB2312" w:hAnsi="仿宋_GB2312" w:eastAsia="仿宋_GB2312" w:cs="仿宋_GB2312"/>
          <w:kern w:val="0"/>
          <w:sz w:val="32"/>
          <w:szCs w:val="32"/>
        </w:rPr>
        <w:t>，9月12日召开主题教育动员部署会，11月14日</w:t>
      </w:r>
      <w:r>
        <w:rPr>
          <w:rFonts w:ascii="仿宋_GB2312" w:hAnsi="仿宋_GB2312" w:eastAsia="仿宋_GB2312" w:cs="仿宋_GB2312"/>
          <w:kern w:val="0"/>
          <w:sz w:val="32"/>
          <w:szCs w:val="32"/>
        </w:rPr>
        <w:t>召开主题教育总结会。</w:t>
      </w:r>
      <w:r>
        <w:rPr>
          <w:rFonts w:hint="eastAsia" w:ascii="仿宋_GB2312" w:hAnsi="仿宋_GB2312" w:eastAsia="仿宋_GB2312" w:cs="仿宋_GB2312"/>
          <w:kern w:val="0"/>
          <w:sz w:val="32"/>
          <w:szCs w:val="32"/>
        </w:rPr>
        <w:t>主题教育</w:t>
      </w:r>
      <w:r>
        <w:rPr>
          <w:rFonts w:ascii="仿宋_GB2312" w:hAnsi="仿宋_GB2312" w:eastAsia="仿宋_GB2312" w:cs="仿宋_GB2312"/>
          <w:kern w:val="0"/>
          <w:sz w:val="32"/>
          <w:szCs w:val="32"/>
        </w:rPr>
        <w:t>过程中，</w:t>
      </w:r>
      <w:r>
        <w:rPr>
          <w:rFonts w:hint="eastAsia" w:ascii="仿宋_GB2312" w:hAnsi="仿宋_GB2312" w:eastAsia="仿宋_GB2312" w:cs="仿宋_GB2312"/>
          <w:kern w:val="0"/>
          <w:sz w:val="32"/>
          <w:szCs w:val="32"/>
        </w:rPr>
        <w:t>认真</w:t>
      </w:r>
      <w:r>
        <w:rPr>
          <w:rFonts w:ascii="仿宋_GB2312" w:hAnsi="仿宋_GB2312" w:eastAsia="仿宋_GB2312" w:cs="仿宋_GB2312"/>
          <w:kern w:val="0"/>
          <w:sz w:val="32"/>
          <w:szCs w:val="32"/>
        </w:rPr>
        <w:t>贯彻“</w:t>
      </w:r>
      <w:r>
        <w:rPr>
          <w:rFonts w:hint="eastAsia" w:ascii="仿宋_GB2312" w:hAnsi="仿宋_GB2312" w:eastAsia="仿宋_GB2312" w:cs="仿宋_GB2312"/>
          <w:kern w:val="0"/>
          <w:sz w:val="32"/>
          <w:szCs w:val="32"/>
        </w:rPr>
        <w:t>守</w:t>
      </w:r>
      <w:r>
        <w:rPr>
          <w:rFonts w:ascii="仿宋_GB2312" w:hAnsi="仿宋_GB2312" w:eastAsia="仿宋_GB2312" w:cs="仿宋_GB2312"/>
          <w:kern w:val="0"/>
          <w:sz w:val="32"/>
          <w:szCs w:val="32"/>
        </w:rPr>
        <w:t>初心、担使命，找差距、抓落实”</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要求，做到“</w:t>
      </w:r>
      <w:r>
        <w:rPr>
          <w:rFonts w:hint="eastAsia" w:ascii="仿宋_GB2312" w:hAnsi="仿宋_GB2312" w:eastAsia="仿宋_GB2312" w:cs="仿宋_GB2312"/>
          <w:kern w:val="0"/>
          <w:sz w:val="32"/>
          <w:szCs w:val="32"/>
        </w:rPr>
        <w:t>全员</w:t>
      </w:r>
      <w:r>
        <w:rPr>
          <w:rFonts w:ascii="仿宋_GB2312" w:hAnsi="仿宋_GB2312" w:eastAsia="仿宋_GB2312" w:cs="仿宋_GB2312"/>
          <w:kern w:val="0"/>
          <w:sz w:val="32"/>
          <w:szCs w:val="32"/>
        </w:rPr>
        <w:t>参与不落下一人</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全程管理不留下死角”</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严格</w:t>
      </w:r>
      <w:r>
        <w:rPr>
          <w:rFonts w:hint="eastAsia" w:ascii="仿宋_GB2312" w:hAnsi="仿宋_GB2312" w:eastAsia="仿宋_GB2312" w:cs="仿宋_GB2312"/>
          <w:kern w:val="0"/>
          <w:sz w:val="32"/>
          <w:szCs w:val="32"/>
        </w:rPr>
        <w:t>将</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学习</w:t>
      </w:r>
      <w:r>
        <w:rPr>
          <w:rFonts w:ascii="仿宋_GB2312" w:hAnsi="仿宋_GB2312" w:eastAsia="仿宋_GB2312" w:cs="仿宋_GB2312"/>
          <w:kern w:val="0"/>
          <w:sz w:val="32"/>
          <w:szCs w:val="32"/>
        </w:rPr>
        <w:t>教育、调查研究、检视问题</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整改落实”</w:t>
      </w:r>
      <w:r>
        <w:rPr>
          <w:rFonts w:hint="eastAsia" w:ascii="仿宋_GB2312" w:hAnsi="仿宋_GB2312" w:eastAsia="仿宋_GB2312" w:cs="仿宋_GB2312"/>
          <w:kern w:val="0"/>
          <w:sz w:val="32"/>
          <w:szCs w:val="32"/>
        </w:rPr>
        <w:t>贯穿</w:t>
      </w:r>
      <w:r>
        <w:rPr>
          <w:rFonts w:ascii="仿宋_GB2312" w:hAnsi="仿宋_GB2312" w:eastAsia="仿宋_GB2312" w:cs="仿宋_GB2312"/>
          <w:kern w:val="0"/>
          <w:sz w:val="32"/>
          <w:szCs w:val="32"/>
        </w:rPr>
        <w:t>始终</w:t>
      </w:r>
      <w:r>
        <w:rPr>
          <w:rFonts w:hint="eastAsia" w:ascii="仿宋_GB2312" w:hAnsi="仿宋_GB2312" w:eastAsia="仿宋_GB2312" w:cs="仿宋_GB2312"/>
          <w:kern w:val="0"/>
          <w:sz w:val="32"/>
          <w:szCs w:val="32"/>
        </w:rPr>
        <w:t>。</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主题</w:t>
      </w:r>
      <w:r>
        <w:rPr>
          <w:rFonts w:ascii="仿宋_GB2312" w:hAnsi="仿宋_GB2312" w:eastAsia="仿宋_GB2312" w:cs="仿宋_GB2312"/>
          <w:kern w:val="0"/>
          <w:sz w:val="32"/>
          <w:szCs w:val="32"/>
        </w:rPr>
        <w:t>教育</w:t>
      </w:r>
      <w:r>
        <w:rPr>
          <w:rFonts w:hint="eastAsia" w:ascii="仿宋_GB2312" w:hAnsi="仿宋_GB2312" w:eastAsia="仿宋_GB2312" w:cs="仿宋_GB2312"/>
          <w:kern w:val="0"/>
          <w:sz w:val="32"/>
          <w:szCs w:val="32"/>
        </w:rPr>
        <w:t>期间，开展主题教育专题读书班暨党支部书记轮训班集中学习研讨11次，组织党委学习中心组集中学习14次，支部全体党员集中学习14次，校领导及支部书记开展专题党课10次，邀请基层党代表解读宣讲1次，梳理</w:t>
      </w:r>
      <w:r>
        <w:rPr>
          <w:rFonts w:ascii="仿宋_GB2312" w:hAnsi="仿宋_GB2312" w:eastAsia="仿宋_GB2312" w:cs="仿宋_GB2312"/>
          <w:kern w:val="0"/>
          <w:sz w:val="32"/>
          <w:szCs w:val="32"/>
        </w:rPr>
        <w:t>问题</w:t>
      </w:r>
      <w:r>
        <w:rPr>
          <w:rFonts w:hint="eastAsia" w:ascii="仿宋_GB2312" w:hAnsi="仿宋_GB2312" w:eastAsia="仿宋_GB2312" w:cs="仿宋_GB2312"/>
          <w:kern w:val="0"/>
          <w:sz w:val="32"/>
          <w:szCs w:val="32"/>
        </w:rPr>
        <w:t>43个、</w:t>
      </w:r>
      <w:r>
        <w:rPr>
          <w:rFonts w:ascii="仿宋_GB2312" w:hAnsi="仿宋_GB2312" w:eastAsia="仿宋_GB2312" w:cs="仿宋_GB2312"/>
          <w:kern w:val="0"/>
          <w:sz w:val="32"/>
          <w:szCs w:val="32"/>
        </w:rPr>
        <w:t>解决问题</w:t>
      </w:r>
      <w:r>
        <w:rPr>
          <w:rFonts w:hint="eastAsia" w:ascii="仿宋_GB2312" w:hAnsi="仿宋_GB2312" w:eastAsia="仿宋_GB2312" w:cs="仿宋_GB2312"/>
          <w:kern w:val="0"/>
          <w:sz w:val="32"/>
          <w:szCs w:val="32"/>
        </w:rPr>
        <w:t>40个</w:t>
      </w:r>
      <w:r>
        <w:rPr>
          <w:rFonts w:ascii="仿宋_GB2312" w:hAnsi="仿宋_GB2312" w:eastAsia="仿宋_GB2312" w:cs="仿宋_GB2312"/>
          <w:kern w:val="0"/>
          <w:sz w:val="32"/>
          <w:szCs w:val="32"/>
        </w:rPr>
        <w:t>，出台实施制度</w:t>
      </w:r>
      <w:r>
        <w:rPr>
          <w:rFonts w:hint="eastAsia" w:ascii="仿宋_GB2312" w:hAnsi="仿宋_GB2312" w:eastAsia="仿宋_GB2312" w:cs="仿宋_GB2312"/>
          <w:kern w:val="0"/>
          <w:sz w:val="32"/>
          <w:szCs w:val="32"/>
        </w:rPr>
        <w:t>3个</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推进</w:t>
      </w:r>
      <w:r>
        <w:rPr>
          <w:rFonts w:ascii="仿宋_GB2312" w:hAnsi="仿宋_GB2312" w:eastAsia="仿宋_GB2312" w:cs="仿宋_GB2312"/>
          <w:kern w:val="0"/>
          <w:sz w:val="32"/>
          <w:szCs w:val="32"/>
        </w:rPr>
        <w:t>完善制度</w:t>
      </w:r>
      <w:r>
        <w:rPr>
          <w:rFonts w:hint="eastAsia" w:ascii="仿宋_GB2312" w:hAnsi="仿宋_GB2312" w:eastAsia="仿宋_GB2312" w:cs="仿宋_GB2312"/>
          <w:kern w:val="0"/>
          <w:sz w:val="32"/>
          <w:szCs w:val="32"/>
        </w:rPr>
        <w:t>2个</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通过专题学习、集中讨论等方式，做到将理论学习抓在经常、融入日常，切实发挥“头雁效应”，引导党的创新理论飞入寻常百姓家，教育引导全体党员干部师生牢固树立“四个意识”、坚定“四个自信”、做到“两个维护”。</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主题</w:t>
      </w:r>
      <w:r>
        <w:rPr>
          <w:rFonts w:ascii="仿宋" w:hAnsi="仿宋" w:eastAsia="仿宋"/>
          <w:sz w:val="32"/>
          <w:szCs w:val="32"/>
        </w:rPr>
        <w:t>教育</w:t>
      </w:r>
      <w:r>
        <w:rPr>
          <w:rFonts w:hint="eastAsia" w:ascii="仿宋" w:hAnsi="仿宋" w:eastAsia="仿宋"/>
          <w:sz w:val="32"/>
          <w:szCs w:val="32"/>
        </w:rPr>
        <w:t>主要有六点成效：</w:t>
      </w:r>
      <w:r>
        <w:rPr>
          <w:rFonts w:hint="eastAsia" w:ascii="仿宋" w:hAnsi="仿宋" w:eastAsia="仿宋"/>
          <w:b/>
          <w:sz w:val="32"/>
          <w:szCs w:val="32"/>
        </w:rPr>
        <w:t>一是</w:t>
      </w:r>
      <w:r>
        <w:rPr>
          <w:rFonts w:hint="eastAsia" w:ascii="仿宋" w:hAnsi="仿宋" w:eastAsia="仿宋"/>
          <w:sz w:val="32"/>
          <w:szCs w:val="32"/>
        </w:rPr>
        <w:t>深化了对党的初心和使命的认识，激发了全体党员、干部、教师“为党育人、为国育才”的原动力，认清了从哪里来、到哪里去、为什么人、担什么责的问题，强化了理想信念和使命担当；</w:t>
      </w:r>
      <w:r>
        <w:rPr>
          <w:rFonts w:hint="eastAsia" w:ascii="仿宋" w:hAnsi="仿宋" w:eastAsia="仿宋"/>
          <w:b/>
          <w:sz w:val="32"/>
          <w:szCs w:val="32"/>
        </w:rPr>
        <w:t>二是</w:t>
      </w:r>
      <w:r>
        <w:rPr>
          <w:rFonts w:hint="eastAsia" w:ascii="仿宋" w:hAnsi="仿宋" w:eastAsia="仿宋"/>
          <w:sz w:val="32"/>
          <w:szCs w:val="32"/>
        </w:rPr>
        <w:t>坚持不懈用习近平新时代中国特色社会主义思想武装头脑，提高了知信行合一能力。全体党员、干部带着责任、带着问题读原著学原文，通过中心组学习、专题研究、集中交流研讨等形式，推动学习往深里走、往实里走，找到了我们推动工作、解决问题的“金钥匙”；</w:t>
      </w:r>
      <w:r>
        <w:rPr>
          <w:rFonts w:hint="eastAsia" w:ascii="仿宋" w:hAnsi="仿宋" w:eastAsia="仿宋"/>
          <w:b/>
          <w:sz w:val="32"/>
          <w:szCs w:val="32"/>
        </w:rPr>
        <w:t>三</w:t>
      </w:r>
      <w:r>
        <w:rPr>
          <w:rFonts w:ascii="仿宋" w:hAnsi="仿宋" w:eastAsia="仿宋"/>
          <w:b/>
          <w:sz w:val="32"/>
          <w:szCs w:val="32"/>
        </w:rPr>
        <w:t>是</w:t>
      </w:r>
      <w:r>
        <w:rPr>
          <w:rFonts w:hint="eastAsia" w:ascii="仿宋" w:hAnsi="仿宋" w:eastAsia="仿宋"/>
          <w:sz w:val="32"/>
          <w:szCs w:val="32"/>
        </w:rPr>
        <w:t>全校党员干部思想政治受到洗礼，增强了守初心、担使命的思想自觉和行动自觉。大家对照党中央决策部署，对照党章党规，对照师生新期待，对照先进榜样，找差距、摆问题，坚定了对马克思主义的信仰和中国特色社会主义的信念。通过召开专题民主生活会、组织生活会，开展批评和自我批评，受到一次严肃的党内政治生活锻炼，党员、干部信仰之基更加牢固、精神之钙更加充足；</w:t>
      </w:r>
      <w:r>
        <w:rPr>
          <w:rFonts w:hint="eastAsia" w:ascii="仿宋" w:hAnsi="仿宋" w:eastAsia="仿宋"/>
          <w:b/>
          <w:sz w:val="32"/>
          <w:szCs w:val="32"/>
        </w:rPr>
        <w:t>四是</w:t>
      </w:r>
      <w:r>
        <w:rPr>
          <w:rFonts w:hint="eastAsia" w:ascii="仿宋" w:hAnsi="仿宋" w:eastAsia="仿宋"/>
          <w:sz w:val="32"/>
          <w:szCs w:val="32"/>
        </w:rPr>
        <w:t>坚持以人民为中心，强化了宗旨意识和为民情怀。全校党员、干部深入师生，积极回应师生关切，切实解决师生最关心最直接最现实的利益问题，特别是解决师生利益和发展等操心事、揪心事，以看得见、摸得着的变化回应师生期盼。</w:t>
      </w:r>
      <w:r>
        <w:rPr>
          <w:rFonts w:hint="eastAsia" w:ascii="仿宋" w:hAnsi="仿宋" w:eastAsia="仿宋"/>
          <w:b/>
          <w:sz w:val="32"/>
          <w:szCs w:val="32"/>
        </w:rPr>
        <w:t>五是</w:t>
      </w:r>
      <w:r>
        <w:rPr>
          <w:rFonts w:hint="eastAsia" w:ascii="仿宋" w:hAnsi="仿宋" w:eastAsia="仿宋"/>
          <w:sz w:val="32"/>
          <w:szCs w:val="32"/>
        </w:rPr>
        <w:t>党员干部干事创业、担当作为的精气神得到提振，学校高质量</w:t>
      </w:r>
      <w:r>
        <w:rPr>
          <w:rFonts w:ascii="仿宋" w:hAnsi="仿宋" w:eastAsia="仿宋"/>
          <w:sz w:val="32"/>
          <w:szCs w:val="32"/>
        </w:rPr>
        <w:t>发展效果得以显现</w:t>
      </w:r>
      <w:r>
        <w:rPr>
          <w:rFonts w:hint="eastAsia" w:ascii="仿宋" w:hAnsi="仿宋" w:eastAsia="仿宋"/>
          <w:sz w:val="32"/>
          <w:szCs w:val="32"/>
        </w:rPr>
        <w:t>。全校党员干部以刀刃向内的精神开展批评和自我批评，叩问初心变没变、使命担没担，对照学校建设全省示范性中职学校目标，强化了坐不住、等不起的紧迫感，激发了只争朝夕、奋发有为的干劲和越是艰险越向前的奋斗精神；</w:t>
      </w:r>
      <w:r>
        <w:rPr>
          <w:rFonts w:hint="eastAsia" w:ascii="仿宋" w:hAnsi="仿宋" w:eastAsia="仿宋"/>
          <w:b/>
          <w:sz w:val="32"/>
          <w:szCs w:val="32"/>
        </w:rPr>
        <w:t>六是</w:t>
      </w:r>
      <w:r>
        <w:rPr>
          <w:rFonts w:hint="eastAsia" w:ascii="仿宋" w:hAnsi="仿宋" w:eastAsia="仿宋"/>
          <w:sz w:val="32"/>
          <w:szCs w:val="32"/>
        </w:rPr>
        <w:t>清正廉洁教育深入人心，涵养了风清气正的政治生态。通过教育引导党员干部学习党规党纪、学习党史国史、远眺前行的路，深入开展反面典型警示教育，促进党员干部知敬畏、守底线，纪律意识和规矩意识进一步提升，公正用权、依法用权、廉洁用权的自觉性明显增强，党群干群关系更加密切，党内政治生态持续好转。</w:t>
      </w:r>
    </w:p>
    <w:p>
      <w:pPr>
        <w:pStyle w:val="2"/>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（3）加强基层组织建设，抓好党员队伍日常管理</w:t>
      </w:r>
    </w:p>
    <w:p>
      <w:pPr>
        <w:spacing w:line="5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严肃党内政治生活，落实“三会一课”和“主题党日”等党内基本制度，组织集中学习、党员民主评议、按期缴纳党费等，加强党员考核管理，定期检查党支部成员“干部在线学院”学习教育情况，及时通报。加强</w:t>
      </w:r>
      <w:r>
        <w:rPr>
          <w:rFonts w:ascii="仿宋_GB2312" w:hAnsi="仿宋_GB2312" w:eastAsia="仿宋_GB2312" w:cs="仿宋_GB2312"/>
          <w:kern w:val="0"/>
          <w:sz w:val="32"/>
          <w:szCs w:val="32"/>
        </w:rPr>
        <w:t>基层党组织的“</w:t>
      </w: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化”</w:t>
      </w:r>
      <w:r>
        <w:rPr>
          <w:rFonts w:hint="eastAsia" w:ascii="仿宋_GB2312" w:hAnsi="仿宋_GB2312" w:eastAsia="仿宋_GB2312" w:cs="仿宋_GB2312"/>
          <w:kern w:val="0"/>
          <w:sz w:val="32"/>
          <w:szCs w:val="32"/>
        </w:rPr>
        <w:t>建设</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党支部凝聚力、向心力、战斗力进一步提高；</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在职党员进社区工作有序开展，充分发挥在职党员的先锋模范作用，利用节假日以及八小时工作以外的时间，学校44余名党员干部到下浦街道墈上社区开展“创文护卫”“双进双服务”活动，努力构建资源共享、优势互补，促进了党建工作的交流，形成了共建共治共享的良好格局。</w:t>
      </w:r>
    </w:p>
    <w:p>
      <w:pPr>
        <w:spacing w:line="5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（4）强化制度建设，推进治理体系和治理能力现代化</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用制度化、规范化来提升党建工作科学化水平，坚持以习近平新时代中国特色社会思想为指导，认真落实党建工作责任制，明确分工，落实责任，层层分解，严格考核，形成齐抓共管工作格局；认真贯彻民主集中制原则，严格按照议事决策程序，充分发挥党委班子的集体智慧，增强了决策的民主性、科学性和透明性；结合工作实际进一步修订完善了考勤、会议、学习、财务等制度，有效规范了人员行为，强化了日常管理。</w:t>
      </w:r>
    </w:p>
    <w:p>
      <w:pPr>
        <w:pStyle w:val="2"/>
        <w:spacing w:before="0" w:line="500" w:lineRule="exact"/>
        <w:ind w:left="113" w:firstLine="643" w:firstLineChars="200"/>
        <w:rPr>
          <w:rFonts w:ascii="仿宋" w:hAnsi="仿宋" w:eastAsia="仿宋"/>
          <w:b/>
          <w:sz w:val="32"/>
          <w:szCs w:val="32"/>
        </w:rPr>
      </w:pPr>
      <w:r>
        <w:rPr>
          <w:rFonts w:hint="eastAsia" w:ascii="仿宋" w:hAnsi="仿宋" w:eastAsia="仿宋"/>
          <w:b/>
          <w:sz w:val="32"/>
          <w:szCs w:val="32"/>
        </w:rPr>
        <w:t>（5）牢牢守</w:t>
      </w:r>
      <w:r>
        <w:rPr>
          <w:rFonts w:ascii="仿宋" w:hAnsi="仿宋" w:eastAsia="仿宋"/>
          <w:b/>
          <w:sz w:val="32"/>
          <w:szCs w:val="32"/>
        </w:rPr>
        <w:t>好阵地，</w:t>
      </w:r>
      <w:r>
        <w:rPr>
          <w:rFonts w:hint="eastAsia" w:ascii="仿宋" w:hAnsi="仿宋" w:eastAsia="仿宋"/>
          <w:b/>
          <w:sz w:val="32"/>
          <w:szCs w:val="32"/>
        </w:rPr>
        <w:t>落实</w:t>
      </w:r>
      <w:r>
        <w:rPr>
          <w:rFonts w:ascii="仿宋" w:hAnsi="仿宋" w:eastAsia="仿宋"/>
          <w:b/>
          <w:sz w:val="32"/>
          <w:szCs w:val="32"/>
        </w:rPr>
        <w:t>意识形态工作责任</w:t>
      </w:r>
    </w:p>
    <w:p>
      <w:pPr>
        <w:pStyle w:val="2"/>
        <w:spacing w:before="0" w:line="500" w:lineRule="exact"/>
        <w:ind w:left="113" w:firstLine="643" w:firstLineChars="200"/>
        <w:rPr>
          <w:rFonts w:ascii="仿宋" w:hAnsi="仿宋" w:eastAsia="仿宋"/>
          <w:color w:val="FF0000"/>
          <w:sz w:val="32"/>
          <w:szCs w:val="32"/>
        </w:rPr>
      </w:pPr>
      <w:r>
        <w:rPr>
          <w:rFonts w:hint="eastAsia" w:ascii="仿宋" w:hAnsi="仿宋" w:eastAsia="仿宋"/>
          <w:b/>
          <w:sz w:val="32"/>
          <w:szCs w:val="32"/>
        </w:rPr>
        <w:t>一</w:t>
      </w:r>
      <w:r>
        <w:rPr>
          <w:rFonts w:ascii="仿宋" w:hAnsi="仿宋" w:eastAsia="仿宋"/>
          <w:b/>
          <w:sz w:val="32"/>
          <w:szCs w:val="32"/>
        </w:rPr>
        <w:t>是</w:t>
      </w:r>
      <w:r>
        <w:rPr>
          <w:rFonts w:hint="eastAsia" w:ascii="仿宋" w:hAnsi="仿宋" w:eastAsia="仿宋"/>
          <w:sz w:val="32"/>
          <w:szCs w:val="32"/>
        </w:rPr>
        <w:t>制定</w:t>
      </w:r>
      <w:r>
        <w:rPr>
          <w:rFonts w:ascii="仿宋" w:hAnsi="仿宋" w:eastAsia="仿宋"/>
          <w:sz w:val="32"/>
          <w:szCs w:val="32"/>
        </w:rPr>
        <w:t>了《</w:t>
      </w:r>
      <w:r>
        <w:rPr>
          <w:rFonts w:hint="eastAsia" w:ascii="仿宋" w:hAnsi="仿宋" w:eastAsia="仿宋"/>
          <w:sz w:val="32"/>
          <w:szCs w:val="32"/>
        </w:rPr>
        <w:t>江西省轻工业高级技工学校识形态工作责任制实施细则</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明确学校党委和各级落实意识形态工作责任制的</w:t>
      </w:r>
      <w:r>
        <w:rPr>
          <w:rFonts w:hint="eastAsia" w:ascii="仿宋" w:hAnsi="仿宋" w:eastAsia="仿宋"/>
          <w:sz w:val="32"/>
          <w:szCs w:val="32"/>
        </w:rPr>
        <w:t>工作</w:t>
      </w:r>
      <w:r>
        <w:rPr>
          <w:rFonts w:ascii="仿宋" w:hAnsi="仿宋" w:eastAsia="仿宋"/>
          <w:sz w:val="32"/>
          <w:szCs w:val="32"/>
        </w:rPr>
        <w:t>责任和具体办法</w:t>
      </w:r>
      <w:r>
        <w:rPr>
          <w:rFonts w:hint="eastAsia" w:ascii="仿宋" w:hAnsi="仿宋" w:eastAsia="仿宋"/>
          <w:sz w:val="32"/>
          <w:szCs w:val="32"/>
        </w:rPr>
        <w:t>；</w:t>
      </w:r>
      <w:r>
        <w:rPr>
          <w:rFonts w:hint="eastAsia" w:ascii="仿宋" w:hAnsi="仿宋" w:eastAsia="仿宋"/>
          <w:b/>
          <w:sz w:val="32"/>
          <w:szCs w:val="32"/>
        </w:rPr>
        <w:t>二</w:t>
      </w:r>
      <w:r>
        <w:rPr>
          <w:rFonts w:ascii="仿宋" w:hAnsi="仿宋" w:eastAsia="仿宋"/>
          <w:b/>
          <w:sz w:val="32"/>
          <w:szCs w:val="32"/>
        </w:rPr>
        <w:t>是</w:t>
      </w:r>
      <w:r>
        <w:rPr>
          <w:rFonts w:hint="eastAsia" w:ascii="仿宋" w:hAnsi="仿宋" w:eastAsia="仿宋"/>
          <w:sz w:val="32"/>
          <w:szCs w:val="32"/>
        </w:rPr>
        <w:t>认真</w:t>
      </w:r>
      <w:r>
        <w:rPr>
          <w:rFonts w:ascii="仿宋" w:hAnsi="仿宋" w:eastAsia="仿宋"/>
          <w:sz w:val="32"/>
          <w:szCs w:val="32"/>
        </w:rPr>
        <w:t>落实意识形态工作责任制实施细则的要求，抓好过程管理，</w:t>
      </w:r>
      <w:r>
        <w:rPr>
          <w:rFonts w:hint="eastAsia" w:ascii="仿宋" w:hAnsi="仿宋" w:eastAsia="仿宋"/>
          <w:sz w:val="32"/>
          <w:szCs w:val="32"/>
        </w:rPr>
        <w:t>学校教职工</w:t>
      </w:r>
      <w:r>
        <w:rPr>
          <w:rFonts w:ascii="仿宋" w:hAnsi="仿宋" w:eastAsia="仿宋"/>
          <w:sz w:val="32"/>
          <w:szCs w:val="32"/>
        </w:rPr>
        <w:t>大会</w:t>
      </w:r>
      <w:r>
        <w:rPr>
          <w:rFonts w:hint="eastAsia" w:ascii="仿宋" w:hAnsi="仿宋" w:eastAsia="仿宋"/>
          <w:sz w:val="32"/>
          <w:szCs w:val="32"/>
        </w:rPr>
        <w:t>、党委</w:t>
      </w:r>
      <w:r>
        <w:rPr>
          <w:rFonts w:ascii="仿宋" w:hAnsi="仿宋" w:eastAsia="仿宋"/>
          <w:sz w:val="32"/>
          <w:szCs w:val="32"/>
        </w:rPr>
        <w:t>中心组</w:t>
      </w:r>
      <w:r>
        <w:rPr>
          <w:rFonts w:hint="eastAsia" w:ascii="仿宋" w:hAnsi="仿宋" w:eastAsia="仿宋"/>
          <w:sz w:val="32"/>
          <w:szCs w:val="32"/>
        </w:rPr>
        <w:t>学习</w:t>
      </w:r>
      <w:r>
        <w:rPr>
          <w:rFonts w:ascii="仿宋" w:hAnsi="仿宋" w:eastAsia="仿宋"/>
          <w:sz w:val="32"/>
          <w:szCs w:val="32"/>
        </w:rPr>
        <w:t>会、每周例会、支部党员会、系部研讨会都将意识形态工作作为重要内容，</w:t>
      </w:r>
      <w:r>
        <w:rPr>
          <w:rFonts w:hint="eastAsia" w:ascii="仿宋" w:hAnsi="仿宋" w:eastAsia="仿宋"/>
          <w:sz w:val="32"/>
          <w:szCs w:val="32"/>
        </w:rPr>
        <w:t>严格</w:t>
      </w:r>
      <w:r>
        <w:rPr>
          <w:rFonts w:ascii="仿宋" w:hAnsi="仿宋" w:eastAsia="仿宋"/>
          <w:sz w:val="32"/>
          <w:szCs w:val="32"/>
        </w:rPr>
        <w:t>宣传</w:t>
      </w:r>
      <w:r>
        <w:rPr>
          <w:rFonts w:hint="eastAsia" w:ascii="仿宋" w:hAnsi="仿宋" w:eastAsia="仿宋"/>
          <w:sz w:val="32"/>
          <w:szCs w:val="32"/>
        </w:rPr>
        <w:t>思想</w:t>
      </w:r>
      <w:r>
        <w:rPr>
          <w:rFonts w:ascii="仿宋" w:hAnsi="仿宋" w:eastAsia="仿宋"/>
          <w:sz w:val="32"/>
          <w:szCs w:val="32"/>
        </w:rPr>
        <w:t>工作纪律，</w:t>
      </w:r>
      <w:r>
        <w:rPr>
          <w:rFonts w:hint="eastAsia" w:ascii="仿宋" w:hAnsi="仿宋" w:eastAsia="仿宋"/>
          <w:sz w:val="32"/>
          <w:szCs w:val="32"/>
        </w:rPr>
        <w:t>将</w:t>
      </w:r>
      <w:r>
        <w:rPr>
          <w:rFonts w:ascii="仿宋" w:hAnsi="仿宋" w:eastAsia="仿宋"/>
          <w:sz w:val="32"/>
          <w:szCs w:val="32"/>
        </w:rPr>
        <w:t>意识形态工作同业务工作同部署、同安排、同考核；</w:t>
      </w:r>
      <w:r>
        <w:rPr>
          <w:rFonts w:hint="eastAsia" w:ascii="仿宋" w:hAnsi="仿宋" w:eastAsia="仿宋"/>
          <w:b/>
          <w:sz w:val="32"/>
          <w:szCs w:val="32"/>
        </w:rPr>
        <w:t>三</w:t>
      </w:r>
      <w:r>
        <w:rPr>
          <w:rFonts w:ascii="仿宋" w:hAnsi="仿宋" w:eastAsia="仿宋"/>
          <w:b/>
          <w:sz w:val="32"/>
          <w:szCs w:val="32"/>
        </w:rPr>
        <w:t>是</w:t>
      </w:r>
      <w:r>
        <w:rPr>
          <w:rFonts w:ascii="仿宋" w:hAnsi="仿宋" w:eastAsia="仿宋"/>
          <w:sz w:val="32"/>
          <w:szCs w:val="32"/>
        </w:rPr>
        <w:t>在全校</w:t>
      </w:r>
      <w:r>
        <w:rPr>
          <w:rFonts w:hint="eastAsia" w:ascii="仿宋" w:hAnsi="仿宋" w:eastAsia="仿宋"/>
          <w:sz w:val="32"/>
          <w:szCs w:val="32"/>
        </w:rPr>
        <w:t>各</w:t>
      </w:r>
      <w:r>
        <w:rPr>
          <w:rFonts w:ascii="仿宋" w:hAnsi="仿宋" w:eastAsia="仿宋"/>
          <w:sz w:val="32"/>
          <w:szCs w:val="32"/>
        </w:rPr>
        <w:t>班开</w:t>
      </w:r>
      <w:r>
        <w:rPr>
          <w:rFonts w:hint="eastAsia" w:ascii="仿宋" w:hAnsi="仿宋" w:eastAsia="仿宋"/>
          <w:sz w:val="32"/>
          <w:szCs w:val="32"/>
        </w:rPr>
        <w:t>设</w:t>
      </w:r>
      <w:r>
        <w:rPr>
          <w:rFonts w:ascii="仿宋" w:hAnsi="仿宋" w:eastAsia="仿宋"/>
          <w:sz w:val="32"/>
          <w:szCs w:val="32"/>
        </w:rPr>
        <w:t>了思想政治课，</w:t>
      </w:r>
      <w:r>
        <w:rPr>
          <w:rFonts w:hint="eastAsia" w:ascii="仿宋" w:hAnsi="仿宋" w:eastAsia="仿宋"/>
          <w:sz w:val="32"/>
          <w:szCs w:val="32"/>
        </w:rPr>
        <w:t>学校</w:t>
      </w:r>
      <w:r>
        <w:rPr>
          <w:rFonts w:ascii="仿宋" w:hAnsi="仿宋" w:eastAsia="仿宋"/>
          <w:sz w:val="32"/>
          <w:szCs w:val="32"/>
        </w:rPr>
        <w:t>主要领导带头到班上为学生上思想政治课</w:t>
      </w:r>
      <w:r>
        <w:rPr>
          <w:rFonts w:hint="eastAsia" w:ascii="仿宋" w:hAnsi="仿宋" w:eastAsia="仿宋"/>
          <w:sz w:val="32"/>
          <w:szCs w:val="32"/>
        </w:rPr>
        <w:t>，</w:t>
      </w:r>
      <w:r>
        <w:rPr>
          <w:rFonts w:ascii="仿宋" w:hAnsi="仿宋" w:eastAsia="仿宋"/>
          <w:sz w:val="32"/>
          <w:szCs w:val="32"/>
        </w:rPr>
        <w:t>宣传红色文化和社会主义核心价值观；</w:t>
      </w:r>
      <w:r>
        <w:rPr>
          <w:rFonts w:hint="eastAsia" w:ascii="仿宋" w:hAnsi="仿宋" w:eastAsia="仿宋"/>
          <w:b/>
          <w:sz w:val="32"/>
          <w:szCs w:val="32"/>
        </w:rPr>
        <w:t>四</w:t>
      </w:r>
      <w:r>
        <w:rPr>
          <w:rFonts w:ascii="仿宋" w:hAnsi="仿宋" w:eastAsia="仿宋"/>
          <w:b/>
          <w:sz w:val="32"/>
          <w:szCs w:val="32"/>
        </w:rPr>
        <w:t>是</w:t>
      </w:r>
      <w:r>
        <w:rPr>
          <w:rFonts w:ascii="仿宋" w:hAnsi="仿宋" w:eastAsia="仿宋"/>
          <w:sz w:val="32"/>
          <w:szCs w:val="32"/>
        </w:rPr>
        <w:t>中层以上干部全部</w:t>
      </w:r>
      <w:r>
        <w:rPr>
          <w:rFonts w:hint="eastAsia" w:ascii="仿宋" w:hAnsi="仿宋" w:eastAsia="仿宋"/>
          <w:sz w:val="32"/>
          <w:szCs w:val="32"/>
        </w:rPr>
        <w:t>下到</w:t>
      </w:r>
      <w:r>
        <w:rPr>
          <w:rFonts w:ascii="仿宋" w:hAnsi="仿宋" w:eastAsia="仿宋"/>
          <w:sz w:val="32"/>
          <w:szCs w:val="32"/>
        </w:rPr>
        <w:t>班级</w:t>
      </w:r>
      <w:r>
        <w:rPr>
          <w:rFonts w:hint="eastAsia" w:ascii="仿宋" w:hAnsi="仿宋" w:eastAsia="仿宋"/>
          <w:sz w:val="32"/>
          <w:szCs w:val="32"/>
        </w:rPr>
        <w:t>协助</w:t>
      </w:r>
      <w:r>
        <w:rPr>
          <w:rFonts w:ascii="仿宋" w:hAnsi="仿宋" w:eastAsia="仿宋"/>
          <w:sz w:val="32"/>
          <w:szCs w:val="32"/>
        </w:rPr>
        <w:t>班主任开展班级管理，帮助学生扣好人生的第一粒扣子；</w:t>
      </w:r>
      <w:r>
        <w:rPr>
          <w:rFonts w:ascii="仿宋" w:hAnsi="仿宋" w:eastAsia="仿宋"/>
          <w:b/>
          <w:sz w:val="32"/>
          <w:szCs w:val="32"/>
        </w:rPr>
        <w:t>五是</w:t>
      </w:r>
      <w:r>
        <w:rPr>
          <w:rFonts w:ascii="仿宋" w:hAnsi="仿宋" w:eastAsia="仿宋"/>
          <w:sz w:val="32"/>
          <w:szCs w:val="32"/>
        </w:rPr>
        <w:t>大力开展国旗下的爱国主义教育。</w:t>
      </w:r>
      <w:r>
        <w:rPr>
          <w:rFonts w:hint="eastAsia" w:ascii="仿宋" w:hAnsi="仿宋" w:eastAsia="仿宋"/>
          <w:sz w:val="32"/>
          <w:szCs w:val="32"/>
        </w:rPr>
        <w:t>利用每周</w:t>
      </w:r>
      <w:r>
        <w:rPr>
          <w:rFonts w:ascii="仿宋" w:hAnsi="仿宋" w:eastAsia="仿宋"/>
          <w:sz w:val="32"/>
          <w:szCs w:val="32"/>
        </w:rPr>
        <w:t>一升旗</w:t>
      </w:r>
      <w:r>
        <w:rPr>
          <w:rFonts w:hint="eastAsia" w:ascii="仿宋" w:hAnsi="仿宋" w:eastAsia="仿宋"/>
          <w:sz w:val="32"/>
          <w:szCs w:val="32"/>
        </w:rPr>
        <w:t>在</w:t>
      </w:r>
      <w:r>
        <w:rPr>
          <w:rFonts w:ascii="仿宋" w:hAnsi="仿宋" w:eastAsia="仿宋"/>
          <w:sz w:val="32"/>
          <w:szCs w:val="32"/>
        </w:rPr>
        <w:t>国旗下由师生讲爱国主义故事</w:t>
      </w:r>
      <w:r>
        <w:rPr>
          <w:rFonts w:hint="eastAsia" w:ascii="仿宋" w:hAnsi="仿宋" w:eastAsia="仿宋"/>
          <w:sz w:val="32"/>
          <w:szCs w:val="32"/>
        </w:rPr>
        <w:t>或</w:t>
      </w:r>
      <w:r>
        <w:rPr>
          <w:rFonts w:ascii="仿宋" w:hAnsi="仿宋" w:eastAsia="仿宋"/>
          <w:sz w:val="32"/>
          <w:szCs w:val="32"/>
        </w:rPr>
        <w:t>表演爱国主义节目</w:t>
      </w:r>
      <w:r>
        <w:rPr>
          <w:rFonts w:hint="eastAsia" w:ascii="仿宋" w:hAnsi="仿宋" w:eastAsia="仿宋"/>
          <w:sz w:val="32"/>
          <w:szCs w:val="32"/>
        </w:rPr>
        <w:t>；</w:t>
      </w:r>
      <w:r>
        <w:rPr>
          <w:rFonts w:hint="eastAsia" w:ascii="仿宋" w:hAnsi="仿宋" w:eastAsia="仿宋"/>
          <w:b/>
          <w:sz w:val="32"/>
          <w:szCs w:val="32"/>
        </w:rPr>
        <w:t>六是</w:t>
      </w:r>
      <w:r>
        <w:rPr>
          <w:rFonts w:ascii="仿宋" w:hAnsi="仿宋" w:eastAsia="仿宋"/>
          <w:sz w:val="32"/>
          <w:szCs w:val="32"/>
        </w:rPr>
        <w:t>加强网络</w:t>
      </w:r>
      <w:r>
        <w:rPr>
          <w:rFonts w:hint="eastAsia" w:ascii="仿宋" w:hAnsi="仿宋" w:eastAsia="仿宋"/>
          <w:sz w:val="32"/>
          <w:szCs w:val="32"/>
        </w:rPr>
        <w:t>等</w:t>
      </w:r>
      <w:r>
        <w:rPr>
          <w:rFonts w:ascii="仿宋" w:hAnsi="仿宋" w:eastAsia="仿宋"/>
          <w:sz w:val="32"/>
          <w:szCs w:val="32"/>
        </w:rPr>
        <w:t>舆情的监督管理，帮助学生甄别不良</w:t>
      </w:r>
      <w:r>
        <w:rPr>
          <w:rFonts w:hint="eastAsia" w:ascii="仿宋" w:hAnsi="仿宋" w:eastAsia="仿宋"/>
          <w:sz w:val="32"/>
          <w:szCs w:val="32"/>
        </w:rPr>
        <w:t>信息</w:t>
      </w:r>
      <w:r>
        <w:rPr>
          <w:rFonts w:ascii="仿宋" w:hAnsi="仿宋" w:eastAsia="仿宋"/>
          <w:sz w:val="32"/>
          <w:szCs w:val="32"/>
        </w:rPr>
        <w:t>，</w:t>
      </w:r>
      <w:r>
        <w:rPr>
          <w:rFonts w:hint="eastAsia" w:ascii="仿宋" w:hAnsi="仿宋" w:eastAsia="仿宋"/>
          <w:sz w:val="32"/>
          <w:szCs w:val="32"/>
        </w:rPr>
        <w:t>打击</w:t>
      </w:r>
      <w:r>
        <w:rPr>
          <w:rFonts w:ascii="仿宋" w:hAnsi="仿宋" w:eastAsia="仿宋"/>
          <w:sz w:val="32"/>
          <w:szCs w:val="32"/>
        </w:rPr>
        <w:t>谣言，</w:t>
      </w:r>
      <w:r>
        <w:rPr>
          <w:rFonts w:hint="eastAsia" w:ascii="仿宋" w:hAnsi="仿宋" w:eastAsia="仿宋"/>
          <w:sz w:val="32"/>
          <w:szCs w:val="32"/>
        </w:rPr>
        <w:t>传播正气</w:t>
      </w:r>
      <w:r>
        <w:rPr>
          <w:rFonts w:ascii="仿宋" w:hAnsi="仿宋" w:eastAsia="仿宋"/>
          <w:sz w:val="32"/>
          <w:szCs w:val="32"/>
        </w:rPr>
        <w:t>正能量</w:t>
      </w:r>
      <w:r>
        <w:rPr>
          <w:rFonts w:hint="eastAsia" w:ascii="仿宋" w:hAnsi="仿宋" w:eastAsia="仿宋"/>
          <w:sz w:val="32"/>
          <w:szCs w:val="32"/>
        </w:rPr>
        <w:t>。</w:t>
      </w:r>
    </w:p>
    <w:p>
      <w:pPr>
        <w:pStyle w:val="3"/>
        <w:spacing w:before="312" w:after="312" w:line="500" w:lineRule="exact"/>
      </w:pPr>
      <w:bookmarkStart w:id="78" w:name="_Toc1331"/>
      <w:bookmarkStart w:id="79" w:name="_Toc24182"/>
      <w:bookmarkStart w:id="80" w:name="_Toc32684"/>
      <w:bookmarkStart w:id="81" w:name="_Toc17955"/>
      <w:r>
        <w:rPr>
          <w:rFonts w:hint="eastAsia"/>
        </w:rPr>
        <w:t>4.校企合作</w:t>
      </w:r>
      <w:bookmarkEnd w:id="78"/>
      <w:bookmarkEnd w:id="79"/>
      <w:bookmarkEnd w:id="80"/>
      <w:bookmarkEnd w:id="81"/>
    </w:p>
    <w:p>
      <w:pPr>
        <w:pStyle w:val="4"/>
        <w:spacing w:before="156" w:after="156" w:line="500" w:lineRule="exact"/>
        <w:ind w:firstLine="723"/>
        <w:rPr>
          <w:rFonts w:hint="default"/>
        </w:rPr>
      </w:pPr>
      <w:bookmarkStart w:id="82" w:name="_Toc1277"/>
      <w:bookmarkStart w:id="83" w:name="_Toc29366"/>
      <w:bookmarkStart w:id="84" w:name="_Toc1469"/>
      <w:bookmarkStart w:id="85" w:name="_Toc26155"/>
      <w:r>
        <w:t>4.1 校企合作开展情况和效果</w:t>
      </w:r>
      <w:bookmarkEnd w:id="82"/>
      <w:bookmarkEnd w:id="83"/>
      <w:bookmarkEnd w:id="84"/>
      <w:bookmarkEnd w:id="85"/>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高度重视校企合作工作，始终坚持以市场为导向，积极引进优质企业，大力推进产教融合、校企合作办学，不断健全校企合作选拔和淘汰机制，完善校企合作质量评价体系，持续推动校企合作的良性和深入发展。目前，学校每届校企合作冠名班学生约200人，占年级总人数的20%左右，如与鸿准精密模具有限公司设立模具专业“鸿准班”，与上海大众设立汽修专业“大众班”，与微盟电子（昆山）有限公司设立计算机专业“微盟</w:t>
      </w:r>
      <w:r>
        <w:rPr>
          <w:rFonts w:ascii="仿宋_GB2312" w:hAnsi="仿宋_GB2312" w:eastAsia="仿宋_GB2312" w:cs="仿宋_GB2312"/>
          <w:sz w:val="32"/>
          <w:szCs w:val="32"/>
        </w:rPr>
        <w:t>班</w:t>
      </w:r>
      <w:r>
        <w:rPr>
          <w:rFonts w:hint="eastAsia" w:ascii="仿宋_GB2312" w:hAnsi="仿宋_GB2312" w:eastAsia="仿宋_GB2312" w:cs="仿宋_GB2312"/>
          <w:sz w:val="32"/>
          <w:szCs w:val="32"/>
        </w:rPr>
        <w:t>”，与环鸿电子（昆山）有限公司设立计算机专业“环鸿班”。除此之外，还与南昌海立电器有限公司、昆山圣美模具有限公司、珠海纳思达科技有限公司、深圳雏鹰幼教机构等大批优质企业合作，建立符合现代企业需求的中高级技能人才培养基地，使人才培养更加贴近企业实际，使毕业生素质更加适应岗位能力，就业竞争力显著增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一是定向班的学生学习态度较好，积极性较高，有利于促进学习和成长，其次较早接触了解企业，不但能增进学生对企业的认同感，更能稳定就业。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二是我校学生多次在校企合作企业所举办的大赛中收获好成绩。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三是通过校企合作、产教结合，校企双方优势互补、资源共享，使我校毕业生就业竞争力增强，学校就业形势持续向好，毕业生供不应求。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长期深入考察，学校于2019年与上海赣霖文化有限公司达成合作，并在校内建立了电子商务专业校企合作基地，以生产项目带动师生实训，有助于提高学生的生产实践能力和就业竞争力；而由于昆山远洋数据有限公司对校企合作深层次理念认识不足、热情不够，还仅仅停留在企业接收学生实习的浅层次上，学校在2019年暂停了与该企业的校企合作。</w:t>
      </w:r>
    </w:p>
    <w:p>
      <w:pPr>
        <w:pStyle w:val="4"/>
        <w:spacing w:before="156" w:after="156" w:line="500" w:lineRule="exact"/>
        <w:ind w:firstLine="723"/>
        <w:rPr>
          <w:rFonts w:hint="default"/>
        </w:rPr>
      </w:pPr>
      <w:bookmarkStart w:id="86" w:name="_Toc1359"/>
      <w:bookmarkStart w:id="87" w:name="_Toc17526"/>
      <w:bookmarkStart w:id="88" w:name="_Toc26816"/>
      <w:bookmarkStart w:id="89" w:name="_Toc26098"/>
      <w:r>
        <w:t>4.2 学生实习情况</w:t>
      </w:r>
      <w:bookmarkEnd w:id="86"/>
      <w:bookmarkEnd w:id="87"/>
      <w:bookmarkEnd w:id="88"/>
      <w:bookmarkEnd w:id="89"/>
    </w:p>
    <w:p>
      <w:pPr>
        <w:spacing w:line="500" w:lineRule="exact"/>
        <w:ind w:firstLine="640" w:firstLineChars="200"/>
        <w:rPr>
          <w:rFonts w:ascii="仿宋_GB2312" w:hAnsi="仿宋_GB2312" w:eastAsia="仿宋_GB2312" w:cs="仿宋_GB2312"/>
          <w:sz w:val="32"/>
          <w:szCs w:val="32"/>
        </w:rPr>
      </w:pPr>
      <w:bookmarkStart w:id="90" w:name="_Toc14072"/>
      <w:bookmarkStart w:id="91" w:name="_Toc15815"/>
      <w:bookmarkStart w:id="92" w:name="_Toc28109"/>
      <w:r>
        <w:rPr>
          <w:rFonts w:hint="eastAsia" w:ascii="仿宋_GB2312" w:hAnsi="仿宋_GB2312" w:eastAsia="仿宋_GB2312" w:cs="仿宋_GB2312"/>
          <w:sz w:val="32"/>
          <w:szCs w:val="32"/>
        </w:rPr>
        <w:t>我校严格执行国家对实习工作的规定要求，始终围绕以“提高毕业生就业工作水平、提高毕业生就业质量、提高毕业生就业率”为重点，深入考察、层层筛选，选择优质企业进行实习安置。2019年，学校招生就业办公室联合教务科把关教学实习，建立完整的实习台账，加大实习检查力度，配备实习带队教师，推行部门联动管理平台、教学实习检查全覆盖、驻企教师指导点“三位一体”的实习管理模式。通过加强实习过程跟踪服务与管理，创新实习过程管理模式，不仅有利于学校第一时间掌握学生实习动态，还极大的提高了学生对教学实习的正确认识。</w:t>
      </w:r>
    </w:p>
    <w:p>
      <w:pPr>
        <w:spacing w:line="500" w:lineRule="exact"/>
        <w:ind w:firstLine="640" w:firstLineChars="200"/>
      </w:pPr>
      <w:r>
        <w:rPr>
          <w:rFonts w:hint="eastAsia" w:ascii="仿宋_GB2312" w:hAnsi="仿宋_GB2312" w:eastAsia="仿宋_GB2312" w:cs="仿宋_GB2312"/>
          <w:sz w:val="32"/>
          <w:szCs w:val="32"/>
        </w:rPr>
        <w:t>我校对2019届700多名毕业生分批次进行实习安置，过程平稳有序。通过不定期的跟踪调查与回访，了解学生思想动态、工作表现以及生活状况，关心、鼓励和帮助学生，大多数实习生工作安心、愉快、稳定，学生及家长的满意率稳步提高。</w:t>
      </w:r>
    </w:p>
    <w:p>
      <w:pPr>
        <w:pStyle w:val="4"/>
        <w:spacing w:before="156" w:after="156" w:line="500" w:lineRule="exact"/>
        <w:ind w:firstLine="723"/>
        <w:rPr>
          <w:rFonts w:hint="default"/>
        </w:rPr>
      </w:pPr>
      <w:bookmarkStart w:id="93" w:name="_Toc14730"/>
      <w:r>
        <w:t>4.3集团化办学情况</w:t>
      </w:r>
      <w:bookmarkEnd w:id="90"/>
      <w:bookmarkEnd w:id="91"/>
      <w:bookmarkEnd w:id="92"/>
      <w:bookmarkEnd w:id="93"/>
    </w:p>
    <w:p>
      <w:pPr>
        <w:spacing w:line="500" w:lineRule="exact"/>
        <w:ind w:firstLine="640" w:firstLineChars="200"/>
        <w:rPr>
          <w:rFonts w:ascii="仿宋_GB2312" w:hAnsi="仿宋_GB2312" w:eastAsia="仿宋_GB2312" w:cs="仿宋_GB2312"/>
          <w:b/>
          <w:bCs/>
          <w:sz w:val="28"/>
          <w:szCs w:val="28"/>
        </w:rPr>
      </w:pPr>
      <w:r>
        <w:rPr>
          <w:rFonts w:hint="eastAsia" w:ascii="仿宋_GB2312" w:hAnsi="仿宋_GB2312" w:eastAsia="仿宋_GB2312" w:cs="仿宋_GB2312"/>
          <w:sz w:val="32"/>
          <w:szCs w:val="32"/>
        </w:rPr>
        <w:t>学校主动融入职业教育发展大环境，充分发挥专业优势，积极推进中高职对接。目前，部分专业正在推进中高职对接培养。</w:t>
      </w:r>
    </w:p>
    <w:p>
      <w:pPr>
        <w:pStyle w:val="3"/>
        <w:spacing w:before="312" w:after="312" w:line="500" w:lineRule="exact"/>
      </w:pPr>
      <w:bookmarkStart w:id="94" w:name="_Toc30838"/>
      <w:bookmarkStart w:id="95" w:name="_Toc2702"/>
      <w:bookmarkStart w:id="96" w:name="_Toc4217"/>
      <w:bookmarkStart w:id="97" w:name="_Toc13077"/>
      <w:r>
        <w:rPr>
          <w:rFonts w:hint="eastAsia"/>
        </w:rPr>
        <w:t>5.社会贡献</w:t>
      </w:r>
      <w:bookmarkEnd w:id="94"/>
      <w:bookmarkEnd w:id="95"/>
      <w:bookmarkEnd w:id="96"/>
      <w:bookmarkEnd w:id="97"/>
    </w:p>
    <w:p>
      <w:pPr>
        <w:pStyle w:val="4"/>
        <w:spacing w:before="156" w:after="156" w:line="500" w:lineRule="exact"/>
        <w:ind w:firstLine="723"/>
        <w:rPr>
          <w:rFonts w:hint="default"/>
        </w:rPr>
      </w:pPr>
      <w:bookmarkStart w:id="98" w:name="_Toc22005"/>
      <w:bookmarkStart w:id="99" w:name="_Toc31142"/>
      <w:bookmarkStart w:id="100" w:name="_Toc9811"/>
      <w:bookmarkStart w:id="101" w:name="_Toc23840"/>
      <w:r>
        <w:t>5.1 技术技能人才培养</w:t>
      </w:r>
      <w:bookmarkEnd w:id="98"/>
      <w:bookmarkEnd w:id="99"/>
      <w:bookmarkEnd w:id="100"/>
      <w:bookmarkEnd w:id="101"/>
    </w:p>
    <w:p>
      <w:pPr>
        <w:spacing w:line="500" w:lineRule="exact"/>
        <w:ind w:firstLine="640" w:firstLineChars="200"/>
      </w:pPr>
      <w:r>
        <w:rPr>
          <w:rFonts w:hint="eastAsia" w:ascii="仿宋_GB2312" w:hAnsi="仿宋_GB2312" w:eastAsia="仿宋_GB2312" w:cs="仿宋_GB2312"/>
          <w:sz w:val="32"/>
          <w:szCs w:val="32"/>
        </w:rPr>
        <w:t>学校始终以服务产业发展为宗旨，以促进就业为导向，坚持“多元化办学、科学化管理、亲情化服务”的办学思路，以创建为抓手，注重学校的品质、内涵、特色、创新发展，突出创新驱动，强化教学中心地位，着力培养学生综合职业能力和就业竞争力，努力把学校做精做强、办出特色。同时，不断强化就业创业管理，完善就业服务体系，建立健全就业学生管理的跟踪与巡视回访制度，为毕业生提供后续管理服务和技术支撑。在今年开展的合作企业走访调查中，企业对我校毕业生满意率达98%以上。</w:t>
      </w:r>
      <w:bookmarkStart w:id="102" w:name="_Toc22146"/>
      <w:bookmarkStart w:id="103" w:name="_Toc14694"/>
      <w:bookmarkStart w:id="104" w:name="_Toc5925"/>
    </w:p>
    <w:p>
      <w:pPr>
        <w:pStyle w:val="4"/>
        <w:spacing w:before="156" w:after="156" w:line="500" w:lineRule="exact"/>
        <w:ind w:firstLine="723"/>
        <w:rPr>
          <w:rFonts w:hint="default"/>
        </w:rPr>
      </w:pPr>
      <w:bookmarkStart w:id="105" w:name="_Toc24261"/>
      <w:r>
        <w:t>5.2 社会服务</w:t>
      </w:r>
      <w:bookmarkEnd w:id="102"/>
      <w:bookmarkEnd w:id="103"/>
      <w:bookmarkEnd w:id="104"/>
      <w:bookmarkEnd w:id="105"/>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5.2.1服务区域经济社会发展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学校2019届毕业生在长三角、珠三角区域内就业，为沿海地区的产业发展提供了人才支撑和智力支持；学校</w:t>
      </w:r>
      <w:r>
        <w:rPr>
          <w:rFonts w:ascii="仿宋_GB2312" w:hAnsi="仿宋_GB2312" w:eastAsia="仿宋_GB2312" w:cs="仿宋_GB2312"/>
          <w:sz w:val="32"/>
          <w:szCs w:val="32"/>
        </w:rPr>
        <w:t>积极与本地工业园区对接，安排</w:t>
      </w:r>
      <w:r>
        <w:rPr>
          <w:rFonts w:hint="eastAsia" w:ascii="仿宋_GB2312" w:hAnsi="仿宋_GB2312" w:eastAsia="仿宋_GB2312" w:cs="仿宋_GB2312"/>
          <w:sz w:val="32"/>
          <w:szCs w:val="32"/>
        </w:rPr>
        <w:t>部分</w:t>
      </w:r>
      <w:r>
        <w:rPr>
          <w:rFonts w:ascii="仿宋_GB2312" w:hAnsi="仿宋_GB2312" w:eastAsia="仿宋_GB2312" w:cs="仿宋_GB2312"/>
          <w:sz w:val="32"/>
          <w:szCs w:val="32"/>
        </w:rPr>
        <w:t>毕业生在</w:t>
      </w:r>
      <w:r>
        <w:rPr>
          <w:rFonts w:hint="eastAsia" w:ascii="仿宋_GB2312" w:hAnsi="仿宋_GB2312" w:eastAsia="仿宋_GB2312" w:cs="仿宋_GB2312"/>
          <w:sz w:val="32"/>
          <w:szCs w:val="32"/>
        </w:rPr>
        <w:t>江西中</w:t>
      </w:r>
      <w:r>
        <w:rPr>
          <w:rFonts w:ascii="仿宋_GB2312" w:hAnsi="仿宋_GB2312" w:eastAsia="仿宋_GB2312" w:cs="仿宋_GB2312"/>
          <w:sz w:val="32"/>
          <w:szCs w:val="32"/>
        </w:rPr>
        <w:t>天机械等企业就业，</w:t>
      </w:r>
      <w:r>
        <w:rPr>
          <w:rFonts w:hint="eastAsia" w:ascii="仿宋_GB2312" w:hAnsi="仿宋_GB2312" w:eastAsia="仿宋_GB2312" w:cs="仿宋_GB2312"/>
          <w:sz w:val="32"/>
          <w:szCs w:val="32"/>
        </w:rPr>
        <w:t>为区域经济社会发展做出了贡献。</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5.2.2积极开展社会培训</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始终坚持“以服务为宗旨，以就业为导向”的办学思想，结合学校实际情况，深度对接社会、产业和企业需求，积极开展培训和技术服务。2019年，对488名春季分流学生进行了以计算机、综合素质等内容的短期培训，对西南大学55人、中石大277人远程教育学生进行了培训考试。</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5.2.3开展职业技能鉴定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业技能鉴定作为一项重要的民生服务制度，是实现大众创业、万众创新的基础。2019年，我校共组织鉴定钳工、车工、汽车维修工、保育员等职业资格共计699人次。这些专业技能人才取得职业资格证书后，利用自己的专业知识，为社会提供服务。学校考评员也在职业鉴定工作中提供严谨、专业、公正的考评服务。</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5.2.4奉献社会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学校重视服务社会、奉献爱心，引导师生自觉提高社会责任感。校党委坚持在传统节日看望困难</w:t>
      </w:r>
      <w:r>
        <w:rPr>
          <w:rFonts w:ascii="仿宋_GB2312" w:hAnsi="仿宋_GB2312" w:eastAsia="仿宋_GB2312" w:cs="仿宋_GB2312"/>
          <w:sz w:val="32"/>
          <w:szCs w:val="32"/>
        </w:rPr>
        <w:t>职工</w:t>
      </w:r>
      <w:r>
        <w:rPr>
          <w:rFonts w:hint="eastAsia" w:ascii="仿宋_GB2312" w:hAnsi="仿宋_GB2312" w:eastAsia="仿宋_GB2312" w:cs="仿宋_GB2312"/>
          <w:sz w:val="32"/>
          <w:szCs w:val="32"/>
        </w:rPr>
        <w:t>易金秀等，</w:t>
      </w:r>
      <w:r>
        <w:rPr>
          <w:rFonts w:ascii="仿宋_GB2312" w:hAnsi="仿宋_GB2312" w:eastAsia="仿宋_GB2312" w:cs="仿宋_GB2312"/>
          <w:sz w:val="32"/>
          <w:szCs w:val="32"/>
        </w:rPr>
        <w:t>组织全体</w:t>
      </w:r>
      <w:r>
        <w:rPr>
          <w:rFonts w:hint="eastAsia" w:ascii="仿宋_GB2312" w:hAnsi="仿宋_GB2312" w:eastAsia="仿宋_GB2312" w:cs="仿宋_GB2312"/>
          <w:sz w:val="32"/>
          <w:szCs w:val="32"/>
        </w:rPr>
        <w:t>师生</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17商务1班困难学生项铭宇家庭捐款，</w:t>
      </w:r>
      <w:r>
        <w:rPr>
          <w:rFonts w:ascii="仿宋_GB2312" w:hAnsi="仿宋_GB2312" w:eastAsia="仿宋_GB2312" w:cs="仿宋_GB2312"/>
          <w:sz w:val="32"/>
          <w:szCs w:val="32"/>
        </w:rPr>
        <w:t>号召</w:t>
      </w:r>
      <w:r>
        <w:rPr>
          <w:rFonts w:hint="eastAsia" w:ascii="仿宋_GB2312" w:hAnsi="仿宋_GB2312" w:eastAsia="仿宋_GB2312" w:cs="仿宋_GB2312"/>
          <w:sz w:val="32"/>
          <w:szCs w:val="32"/>
        </w:rPr>
        <w:t>教</w:t>
      </w:r>
      <w:r>
        <w:rPr>
          <w:rFonts w:ascii="仿宋_GB2312" w:hAnsi="仿宋_GB2312" w:eastAsia="仿宋_GB2312" w:cs="仿宋_GB2312"/>
          <w:sz w:val="32"/>
          <w:szCs w:val="32"/>
        </w:rPr>
        <w:t>职工积极参加</w:t>
      </w:r>
      <w:r>
        <w:rPr>
          <w:rFonts w:hint="eastAsia" w:ascii="仿宋_GB2312" w:hAnsi="仿宋_GB2312" w:eastAsia="仿宋_GB2312" w:cs="仿宋_GB2312"/>
          <w:sz w:val="32"/>
          <w:szCs w:val="32"/>
        </w:rPr>
        <w:t>2019年“慈善一日捐”活动。青年</w:t>
      </w:r>
      <w:r>
        <w:rPr>
          <w:rFonts w:ascii="仿宋_GB2312" w:hAnsi="仿宋_GB2312" w:eastAsia="仿宋_GB2312" w:cs="仿宋_GB2312"/>
          <w:sz w:val="32"/>
          <w:szCs w:val="32"/>
        </w:rPr>
        <w:t>志愿者</w:t>
      </w:r>
      <w:r>
        <w:rPr>
          <w:rFonts w:hint="eastAsia" w:ascii="仿宋_GB2312" w:hAnsi="仿宋_GB2312" w:eastAsia="仿宋_GB2312" w:cs="仿宋_GB2312"/>
          <w:sz w:val="32"/>
          <w:szCs w:val="32"/>
        </w:rPr>
        <w:t>队伍经常性地走进</w:t>
      </w:r>
      <w:r>
        <w:rPr>
          <w:rFonts w:ascii="仿宋_GB2312" w:hAnsi="仿宋_GB2312" w:eastAsia="仿宋_GB2312" w:cs="仿宋_GB2312"/>
          <w:sz w:val="32"/>
          <w:szCs w:val="32"/>
        </w:rPr>
        <w:t>社区、敬老院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开展形式多</w:t>
      </w:r>
      <w:r>
        <w:rPr>
          <w:rFonts w:hint="eastAsia" w:ascii="仿宋_GB2312" w:hAnsi="仿宋_GB2312" w:eastAsia="仿宋_GB2312" w:cs="仿宋_GB2312"/>
          <w:sz w:val="32"/>
          <w:szCs w:val="32"/>
        </w:rPr>
        <w:t>样</w:t>
      </w:r>
      <w:r>
        <w:rPr>
          <w:rFonts w:ascii="仿宋_GB2312" w:hAnsi="仿宋_GB2312" w:eastAsia="仿宋_GB2312" w:cs="仿宋_GB2312"/>
          <w:sz w:val="32"/>
          <w:szCs w:val="32"/>
        </w:rPr>
        <w:t>的志愿服务活动</w:t>
      </w:r>
      <w:r>
        <w:rPr>
          <w:rFonts w:hint="eastAsia" w:ascii="仿宋_GB2312" w:hAnsi="仿宋_GB2312" w:eastAsia="仿宋_GB2312" w:cs="仿宋_GB2312"/>
          <w:sz w:val="32"/>
          <w:szCs w:val="32"/>
        </w:rPr>
        <w:t>，在活动中践行轻校精神。</w:t>
      </w:r>
    </w:p>
    <w:p>
      <w:pPr>
        <w:pStyle w:val="4"/>
        <w:spacing w:before="156" w:after="156" w:line="500" w:lineRule="exact"/>
        <w:ind w:firstLine="723"/>
        <w:rPr>
          <w:rFonts w:hint="default"/>
        </w:rPr>
      </w:pPr>
      <w:bookmarkStart w:id="106" w:name="_Toc3904"/>
      <w:bookmarkStart w:id="107" w:name="_Toc28049"/>
      <w:bookmarkStart w:id="108" w:name="_Toc19066"/>
      <w:bookmarkStart w:id="109" w:name="_Toc10657"/>
      <w:r>
        <w:t>5.3对口支援</w:t>
      </w:r>
      <w:bookmarkEnd w:id="106"/>
      <w:bookmarkEnd w:id="107"/>
      <w:bookmarkEnd w:id="108"/>
      <w:bookmarkEnd w:id="109"/>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高度重视脱贫攻坚工作，全面深入贯彻落实中央、省委、市委有关脱贫攻坚工作会议精神，积极响应关于打赢脱贫攻坚的号召，成立专项工作领导小组，精心选派驻村扶贫工作队员，紧扣精准扶贫、精准脱贫要求，扎实推进脱贫攻坚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学校共计安排20多万元帮扶资金，支持2个扶贫点（铜鼓县港口乡赤洲村和铜鼓县带溪乡红群村）进行脱贫解困工作，11月上旬，学校2个扶贫点均通过宜春市的整村脱贫评估检查。同时，学校还挂点袁州区下浦街道墈上社区党员“双进双服务”帮扶和挂点袁州区西村镇南塘村车前组新农村（秀美乡村）建设帮扶工作，取得初步成效。</w:t>
      </w:r>
    </w:p>
    <w:p>
      <w:pPr>
        <w:pStyle w:val="3"/>
        <w:spacing w:before="312" w:after="312" w:line="500" w:lineRule="exact"/>
      </w:pPr>
      <w:bookmarkStart w:id="110" w:name="_Toc26149"/>
      <w:bookmarkStart w:id="111" w:name="_Toc23005"/>
      <w:bookmarkStart w:id="112" w:name="_Toc11656"/>
      <w:bookmarkStart w:id="113" w:name="_Toc5082"/>
      <w:r>
        <w:rPr>
          <w:rFonts w:hint="eastAsia"/>
        </w:rPr>
        <w:t>6.举办者履责</w:t>
      </w:r>
      <w:bookmarkEnd w:id="110"/>
      <w:bookmarkEnd w:id="111"/>
      <w:bookmarkEnd w:id="112"/>
      <w:bookmarkEnd w:id="113"/>
    </w:p>
    <w:p>
      <w:pPr>
        <w:pStyle w:val="4"/>
        <w:spacing w:before="156" w:after="156" w:line="500" w:lineRule="exact"/>
        <w:ind w:firstLine="723"/>
        <w:rPr>
          <w:rFonts w:hint="default"/>
        </w:rPr>
      </w:pPr>
      <w:bookmarkStart w:id="114" w:name="_Toc12518"/>
      <w:bookmarkStart w:id="115" w:name="_Toc11329"/>
      <w:bookmarkStart w:id="116" w:name="_Toc12396"/>
      <w:bookmarkStart w:id="117" w:name="_Toc14603"/>
      <w:r>
        <w:t>6.1经费</w:t>
      </w:r>
      <w:bookmarkEnd w:id="114"/>
      <w:bookmarkEnd w:id="115"/>
      <w:bookmarkEnd w:id="116"/>
      <w:bookmarkEnd w:id="117"/>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学校得到省财政厅、省教育厅、省人社厅的大力支持，按照国家、江西省相关政策规定，给予学校稳定的资金投入渠道。2019年我校全年收入3452.30万元。</w:t>
      </w:r>
    </w:p>
    <w:p>
      <w:pPr>
        <w:pStyle w:val="4"/>
        <w:spacing w:before="156" w:after="156" w:line="500" w:lineRule="exact"/>
        <w:ind w:firstLine="723"/>
        <w:rPr>
          <w:rFonts w:hint="default"/>
        </w:rPr>
      </w:pPr>
      <w:bookmarkStart w:id="118" w:name="_Toc11812"/>
      <w:bookmarkStart w:id="119" w:name="_Toc12793"/>
      <w:bookmarkStart w:id="120" w:name="_Toc22557"/>
      <w:bookmarkStart w:id="121" w:name="_Toc5851"/>
      <w:r>
        <w:t>6.2政策措施</w:t>
      </w:r>
      <w:bookmarkEnd w:id="118"/>
      <w:bookmarkEnd w:id="119"/>
      <w:bookmarkEnd w:id="120"/>
      <w:bookmarkEnd w:id="121"/>
    </w:p>
    <w:p>
      <w:pPr>
        <w:pStyle w:val="2"/>
        <w:spacing w:line="500" w:lineRule="exact"/>
        <w:ind w:left="113"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6.2.1办学自主权</w:t>
      </w:r>
    </w:p>
    <w:p>
      <w:pPr>
        <w:pStyle w:val="2"/>
        <w:spacing w:line="500" w:lineRule="exact"/>
        <w:ind w:left="11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学校是培养现代化高级技术技能型人才的公办高级技工学校，学校举办者支持学校拥有专业设置、人才培养课程安排、教学计划制定等办学自主权。</w:t>
      </w:r>
    </w:p>
    <w:p>
      <w:pPr>
        <w:pStyle w:val="2"/>
        <w:spacing w:line="500" w:lineRule="exact"/>
        <w:ind w:left="113"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6.2.2制度建设</w:t>
      </w:r>
    </w:p>
    <w:p>
      <w:pPr>
        <w:pStyle w:val="2"/>
        <w:spacing w:line="500" w:lineRule="exact"/>
        <w:ind w:left="11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ascii="仿宋_GB2312" w:hAnsi="仿宋_GB2312" w:eastAsia="仿宋_GB2312" w:cs="仿宋_GB2312"/>
          <w:sz w:val="32"/>
          <w:szCs w:val="32"/>
        </w:rPr>
        <w:t>不断完善学校内部管理体制和运行机制，切实提升依法治校能力，</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以党的十九届四中全会精神为指导，大力推进制度建设，</w:t>
      </w:r>
      <w:r>
        <w:rPr>
          <w:rFonts w:hint="eastAsia" w:ascii="仿宋_GB2312" w:hAnsi="仿宋_GB2312" w:eastAsia="仿宋_GB2312" w:cs="仿宋_GB2312"/>
          <w:sz w:val="32"/>
          <w:szCs w:val="32"/>
        </w:rPr>
        <w:t>成立专门的制度建设小组，统筹分类，梳理已有制度，修订、完善、制定适应学校发展的新制度，进行制度汇编，</w:t>
      </w:r>
      <w:r>
        <w:rPr>
          <w:rFonts w:ascii="仿宋_GB2312" w:hAnsi="仿宋_GB2312" w:eastAsia="仿宋_GB2312" w:cs="仿宋_GB2312"/>
          <w:sz w:val="32"/>
          <w:szCs w:val="32"/>
        </w:rPr>
        <w:t>注重过程管理，</w:t>
      </w:r>
      <w:r>
        <w:rPr>
          <w:rFonts w:hint="eastAsia" w:ascii="仿宋_GB2312" w:hAnsi="仿宋_GB2312" w:eastAsia="仿宋_GB2312" w:cs="仿宋_GB2312"/>
          <w:sz w:val="32"/>
          <w:szCs w:val="32"/>
        </w:rPr>
        <w:t>努力</w:t>
      </w:r>
      <w:r>
        <w:rPr>
          <w:rFonts w:ascii="仿宋_GB2312" w:hAnsi="仿宋_GB2312" w:eastAsia="仿宋_GB2312" w:cs="仿宋_GB2312"/>
          <w:sz w:val="32"/>
          <w:szCs w:val="32"/>
        </w:rPr>
        <w:t>将制度转化为学校现代化治理成效</w:t>
      </w:r>
      <w:r>
        <w:rPr>
          <w:rFonts w:hint="eastAsia" w:ascii="仿宋_GB2312" w:hAnsi="仿宋_GB2312" w:eastAsia="仿宋_GB2312" w:cs="仿宋_GB2312"/>
          <w:sz w:val="32"/>
          <w:szCs w:val="32"/>
        </w:rPr>
        <w:t>。</w:t>
      </w:r>
    </w:p>
    <w:p>
      <w:pPr>
        <w:pStyle w:val="3"/>
        <w:spacing w:before="312" w:after="312" w:line="500" w:lineRule="exact"/>
      </w:pPr>
      <w:bookmarkStart w:id="122" w:name="_Toc2146"/>
      <w:bookmarkStart w:id="123" w:name="_Toc5702"/>
      <w:bookmarkStart w:id="124" w:name="_Toc12269"/>
      <w:bookmarkStart w:id="125" w:name="_Toc10932"/>
      <w:r>
        <w:rPr>
          <w:rFonts w:hint="eastAsia"/>
        </w:rPr>
        <w:t>7.特色创新</w:t>
      </w:r>
      <w:bookmarkEnd w:id="122"/>
      <w:bookmarkEnd w:id="123"/>
      <w:bookmarkEnd w:id="124"/>
      <w:bookmarkEnd w:id="125"/>
    </w:p>
    <w:p>
      <w:pPr>
        <w:pStyle w:val="4"/>
        <w:spacing w:before="156" w:after="156" w:line="500" w:lineRule="exact"/>
        <w:ind w:firstLine="723"/>
        <w:rPr>
          <w:rFonts w:hint="default"/>
        </w:rPr>
      </w:pPr>
      <w:bookmarkStart w:id="126" w:name="_Toc29318"/>
      <w:bookmarkStart w:id="127" w:name="_Toc12972"/>
      <w:bookmarkStart w:id="128" w:name="_Toc4476"/>
      <w:bookmarkStart w:id="129" w:name="_Toc5430"/>
      <w:r>
        <w:t>7.1</w:t>
      </w:r>
      <w:bookmarkEnd w:id="126"/>
      <w:bookmarkEnd w:id="127"/>
      <w:bookmarkEnd w:id="128"/>
      <w:r>
        <w:t>【典型人物案例】榜样引领工程</w:t>
      </w:r>
      <w:bookmarkEnd w:id="129"/>
    </w:p>
    <w:p>
      <w:pPr>
        <w:spacing w:line="500" w:lineRule="exact"/>
        <w:ind w:firstLine="640" w:firstLineChars="200"/>
        <w:rPr>
          <w:rFonts w:ascii="仿宋_GB2312" w:hAnsi="仿宋_GB2312" w:eastAsia="仿宋_GB2312" w:cs="仿宋_GB2312"/>
          <w:sz w:val="32"/>
          <w:szCs w:val="32"/>
          <w:shd w:val="clear" w:color="auto" w:fill="FDFDFC"/>
        </w:rPr>
      </w:pPr>
      <w:r>
        <w:rPr>
          <w:rFonts w:hint="eastAsia" w:ascii="仿宋_GB2312" w:hAnsi="仿宋_GB2312" w:eastAsia="仿宋_GB2312" w:cs="仿宋_GB2312"/>
          <w:sz w:val="32"/>
          <w:szCs w:val="32"/>
          <w:shd w:val="clear" w:color="auto" w:fill="FDFDFC"/>
        </w:rPr>
        <w:t>刘唐根老师是我校机械专业学科带头人，是江西省职业院校专家库成员，是国家职业技能鉴定考评员，受聘担任全国职业技能大赛裁判。他先后主持和参与省级课题 4 项，现完成 3 项。28岁享受省政府特殊津贴，32岁被破格评为高级实习指导教师，先后获得江西省优秀高技能人才、江西省黄炎培职业教育优秀教师奖等荣誉称号，2019年被国家人社部、教育部评为“全国模范教师”。</w:t>
      </w:r>
    </w:p>
    <w:p>
      <w:pPr>
        <w:spacing w:line="500" w:lineRule="exact"/>
        <w:ind w:firstLine="640" w:firstLineChars="200"/>
        <w:rPr>
          <w:rFonts w:ascii="仿宋_GB2312" w:hAnsi="仿宋_GB2312" w:eastAsia="仿宋_GB2312" w:cs="仿宋_GB2312"/>
          <w:sz w:val="32"/>
          <w:szCs w:val="32"/>
          <w:shd w:val="clear" w:color="auto" w:fill="FDFDFC"/>
        </w:rPr>
      </w:pPr>
      <w:r>
        <w:rPr>
          <w:rFonts w:hint="eastAsia" w:ascii="仿宋_GB2312" w:hAnsi="仿宋_GB2312" w:eastAsia="仿宋_GB2312" w:cs="仿宋_GB2312"/>
          <w:sz w:val="32"/>
          <w:szCs w:val="32"/>
          <w:shd w:val="clear" w:color="auto" w:fill="FDFDFC"/>
        </w:rPr>
        <w:t>近几年，通过开展向刘唐根同志学习的“榜样引领工程”， 学校涌现出了一批师德高尚、有责任、有担当的优秀教师，充分体现了“榜样工程”的实施效果，近几年我校教师在江西省信息化教学能力等大赛频获佳绩，其中2019年全省职业院校技能大赛教学能力大赛中我校四个作品均进决赛，最终取得一个一等奖、两个二等奖和一个三等奖的好成绩。刘唐根老师积极开展教研教改，取得很多教研业绩，成为学校老师效仿的对象，学校也因此形成“比学赶超”的一阵又一阵热潮。</w:t>
      </w:r>
    </w:p>
    <w:p>
      <w:pPr>
        <w:spacing w:line="500" w:lineRule="exact"/>
        <w:ind w:firstLine="640" w:firstLineChars="200"/>
        <w:rPr>
          <w:rFonts w:ascii="仿宋_GB2312" w:hAnsi="仿宋_GB2312" w:eastAsia="仿宋_GB2312" w:cs="仿宋_GB2312"/>
          <w:sz w:val="32"/>
          <w:szCs w:val="32"/>
          <w:shd w:val="clear" w:color="auto" w:fill="FDFDFC"/>
        </w:rPr>
      </w:pPr>
      <w:r>
        <w:rPr>
          <w:rFonts w:hint="eastAsia" w:ascii="仿宋_GB2312" w:hAnsi="仿宋_GB2312" w:eastAsia="仿宋_GB2312" w:cs="仿宋_GB2312"/>
          <w:sz w:val="32"/>
          <w:szCs w:val="32"/>
          <w:shd w:val="clear" w:color="auto" w:fill="FDFDFC"/>
        </w:rPr>
        <w:t>除了学校积极宣传模范教师的引领作用外，江西日报、江西教育电视台、宜春日报、大江网等媒体也多次走进校园，对刘唐根老师的先进事迹进行了广泛宣传。通过省市媒体对榜样事迹的强力报道，全校教师更加团结凝力，更加坚定不忘职教事业初心，更加清醒自己教书育人的神圣使命。</w:t>
      </w:r>
    </w:p>
    <w:p>
      <w:pPr>
        <w:spacing w:line="500" w:lineRule="exact"/>
        <w:ind w:firstLine="640" w:firstLineChars="200"/>
      </w:pPr>
      <w:r>
        <w:rPr>
          <w:rFonts w:hint="eastAsia" w:ascii="仿宋_GB2312" w:hAnsi="仿宋_GB2312" w:eastAsia="仿宋_GB2312" w:cs="仿宋_GB2312"/>
          <w:sz w:val="32"/>
          <w:szCs w:val="32"/>
          <w:shd w:val="clear" w:color="auto" w:fill="FDFDFC"/>
        </w:rPr>
        <w:t>学校实施“榜样引领工程”以来，全校教师纷纷表示，要以师德榜样为学习目标，不断提高自己的师德师风修养和专业教学水平，牢记初心使命，展现时代担当，把立德树人的根本任务融入思想道德教育、专业技能教育等各个环节全过程。</w:t>
      </w:r>
    </w:p>
    <w:p>
      <w:pPr>
        <w:pStyle w:val="4"/>
        <w:spacing w:before="156" w:after="156" w:line="500" w:lineRule="exact"/>
        <w:ind w:firstLine="723"/>
        <w:rPr>
          <w:rFonts w:hint="default"/>
        </w:rPr>
      </w:pPr>
      <w:bookmarkStart w:id="130" w:name="_Toc26746"/>
      <w:bookmarkStart w:id="131" w:name="_Toc21049"/>
      <w:bookmarkStart w:id="132" w:name="_Toc8541"/>
      <w:bookmarkStart w:id="133" w:name="_Toc12368"/>
      <w:r>
        <w:t>7.2</w:t>
      </w:r>
      <w:bookmarkEnd w:id="130"/>
      <w:bookmarkEnd w:id="131"/>
      <w:bookmarkEnd w:id="132"/>
      <w:r>
        <w:t>【德育案例】阳光陪同工程</w:t>
      </w:r>
      <w:bookmarkEnd w:id="133"/>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一、背景分析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我校是一所全日制省级公办技工学校，学生多为14—18周岁的青少年，他们大多数来自农村和留守家庭，心理敏感，思想懵懂。加之，今年学校新生录取人数（</w:t>
      </w:r>
      <w:r>
        <w:rPr>
          <w:rFonts w:ascii="仿宋_GB2312" w:hAnsi="仿宋_GB2312" w:eastAsia="仿宋_GB2312" w:cs="仿宋_GB2312"/>
          <w:sz w:val="32"/>
          <w:szCs w:val="32"/>
        </w:rPr>
        <w:t>1606</w:t>
      </w:r>
      <w:r>
        <w:rPr>
          <w:rFonts w:hint="eastAsia" w:ascii="仿宋_GB2312" w:hAnsi="仿宋_GB2312" w:eastAsia="仿宋_GB2312" w:cs="仿宋_GB2312"/>
          <w:sz w:val="32"/>
          <w:szCs w:val="32"/>
        </w:rPr>
        <w:t>人）和学生在校人数（3</w:t>
      </w:r>
      <w:r>
        <w:rPr>
          <w:rFonts w:ascii="仿宋_GB2312" w:hAnsi="仿宋_GB2312" w:eastAsia="仿宋_GB2312" w:cs="仿宋_GB2312"/>
          <w:sz w:val="32"/>
          <w:szCs w:val="32"/>
        </w:rPr>
        <w:t>794</w:t>
      </w:r>
      <w:r>
        <w:rPr>
          <w:rFonts w:hint="eastAsia" w:ascii="仿宋_GB2312" w:hAnsi="仿宋_GB2312" w:eastAsia="仿宋_GB2312" w:cs="仿宋_GB2312"/>
          <w:sz w:val="32"/>
          <w:szCs w:val="32"/>
        </w:rPr>
        <w:t>人）均创历史新高，学校的安全管理工作和思想政治教育工作都面临着新的挑战。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学期伊始，为了了解学生们的思想动态，帮助他们正确树立世界观、人生观、价值观，扣好人生第一粒扣子，尤其是让刚初中毕业的新生尽快熟悉校园，平稳过渡从“家门”到“校门”的适应阶段，学校党委书记熊春光带头，与学生们开启了“同吃同住”的校园生活，短期内即收获了理想的效果。</w:t>
      </w:r>
    </w:p>
    <w:p>
      <w:pPr>
        <w:spacing w:line="500" w:lineRule="exact"/>
        <w:ind w:firstLine="640" w:firstLineChars="200"/>
      </w:pPr>
      <w:r>
        <w:rPr>
          <w:rFonts w:hint="eastAsia" w:ascii="仿宋_GB2312" w:hAnsi="仿宋_GB2312" w:eastAsia="仿宋_GB2312" w:cs="仿宋_GB2312"/>
          <w:sz w:val="32"/>
          <w:szCs w:val="32"/>
        </w:rPr>
        <w:t>为积极探索新形势下学校思想政治教育的新途径、新办法，学校以德育为重点，以立德树人为根本，以学生管理为突破口，以行为习惯的养成教育为主线，将与学生同吃同住活动形成制度化常态化，深入开展了“阳光陪同工程”。</w:t>
      </w:r>
    </w:p>
    <w:p>
      <w:pPr>
        <w:pStyle w:val="2"/>
        <w:spacing w:line="500" w:lineRule="exact"/>
        <w:ind w:left="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二、工作过程</w:t>
      </w:r>
    </w:p>
    <w:p>
      <w:pPr>
        <w:spacing w:line="50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领导带头，以身示范攻克难题。党委书记、校长带头，全体班子成员、中层以上干部参与，统一思想，春风化雨，突出重点，突破难点，从“思想、学业、行为、生活”四个方面入手，打好“组合拳”，与学生同吃同住，全面了解学生的生活学习状况，做好思想引导、学习指导、行为示范和生活帮助等工作。</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1、同话心语，思想上带头引领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着力提高学生的思想政治素质，将思想政治工作不断引向深入，学校领导班子带头走进班级，走近学生，认真倾听，真情对话，每周一早上与对接班级的班主任、学生一起出早操，参加升国旗仪式，每周由一位中层以上干部作“国旗下的讲话”，传承红色基因，内容涉及坚定理想信念、厚植爱国主义情怀、加强品德修养、增长知识见识、培养奋斗精神等方面，切实筑牢了学校思想政治工作生命线。学校领导班子带头做好思想政治工作的“顶梁柱”和“挑山工”角色，提振了师生精气神，凝聚了全校正能量，开创了学校思想政治工作的新局面。</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2、同堂听课，学业上指点迷津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树立勤学善思的优良学风，帮助学生端正学习态度，改变“学不进、学不会”的亚学习状态，学校领导班子带头深入课堂，不仅用学生喜闻乐见的语言、易于接受的方式，亲自为他们讲授思政理论课；还到对接班级随堂听课（每月至少一节），检查晚自习情况（每周至少一次）。课堂上，学校领导干部认真听讲，细心观察师生互动，详细做好听课笔记；利用课间与授课教师沟通，交流教学心得，从学生的角度提出教学建议和指导。晚自习上，学校领导干部来到对接班级，督促住校学生完成作业，预习功课，为学有疑惑的同学们答疑解惑，指点迷津。受到学校领导干部这群“插班生”的鞭策和压力，对接班级的学风有了明显好转，教风也有了一定提升。</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3、同劳共管，行为上以身示范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抓好养成教育，培育和践行劳动精神，帮助学生形成良好的生活习惯，学校领导班子带头落实劳动教育，随机对对接班级的教室、寝室、包干区卫生状况进行全面检查（每月至少一次），并及时予以评价，与班主任交换意见、共同管理，对学生进行示范教育，身体力行，通过“好榜样”力量的影响，进一步改善了学生中作风懒散、怕吃苦、逃避责任的状况，学生的劳动意识逐渐增强。</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4、同桌而食，生活中贴心关怀</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做好学生的贴心人，学校领导班子带头放下师长的威严，用朋辈身份走进食堂，与学生们一起吃饭；住进寝室，与学生们共同生活；联系家长，听取宝贵意见。学校领导干部通过听学生所思所想，知学生所忧所急，用强烈的使命感和责任感去有针对性地解决学生们所盼所难。朝夕相处间，学生们与这群“大朋友”结下了深厚友谊。</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三、主要创新点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广泛调研，学校制定并执行了《中层以上干部联系班主任参与班级管理制度》，通过实行以县处级领导干部为重点、中层干部积极参与联系班主任（辅导员）参与班级管理制度，加强班主任（辅导员）队伍建设，提高班级管理和学生管理水平，用阳光般的温暖陪同学生成长成才，深入落实立德树人根本任务。</w:t>
      </w:r>
    </w:p>
    <w:p>
      <w:pPr>
        <w:spacing w:line="500" w:lineRule="exact"/>
        <w:ind w:firstLine="643" w:firstLineChars="200"/>
        <w:rPr>
          <w:b/>
          <w:bCs/>
        </w:rPr>
      </w:pPr>
      <w:r>
        <w:rPr>
          <w:rFonts w:hint="eastAsia" w:ascii="仿宋_GB2312" w:hAnsi="仿宋_GB2312" w:eastAsia="仿宋_GB2312" w:cs="仿宋_GB2312"/>
          <w:b/>
          <w:bCs/>
          <w:sz w:val="32"/>
          <w:szCs w:val="32"/>
        </w:rPr>
        <w:t>四、基本成效</w:t>
      </w:r>
    </w:p>
    <w:p>
      <w:pPr>
        <w:spacing w:line="500" w:lineRule="exact"/>
        <w:ind w:firstLine="640" w:firstLineChars="200"/>
      </w:pPr>
      <w:r>
        <w:rPr>
          <w:rFonts w:hint="eastAsia" w:ascii="仿宋_GB2312" w:hAnsi="仿宋_GB2312" w:eastAsia="仿宋_GB2312" w:cs="仿宋_GB2312"/>
          <w:sz w:val="32"/>
          <w:szCs w:val="32"/>
        </w:rPr>
        <w:t>学校中层以上干部通过联系班主任参与班级管理，与学生同吃、同住，与学生交流、交心、交友，初步形成了“全校上下同心同德，全体师生同频共振”的良好氛围，实现了学校与学生共同进步的“双赢”局面，“三同育人”工作取得不错的成效：</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掌握了学生思想动态，熟知了解了学生内在诉求，方便了学校领导真情回应学生成长需求和期待，真诚解答学生人生困惑，促进了校园的和谐稳定；</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为进一步树立以学生为本的理念，为更加贴近师生实际，科学制定学校相关政策措施提供了第一手依据；</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学校中层以上干部以身作则，身体力行，用实际行动为学生树立榜样，激励了学生们的爱党爱国情怀；</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增强了学生们的自我管理能力，培养了良好的生活、学习习惯，维护了校园良好的环境。</w:t>
      </w:r>
    </w:p>
    <w:p>
      <w:pPr>
        <w:pStyle w:val="3"/>
        <w:spacing w:before="312" w:after="312" w:line="500" w:lineRule="exact"/>
      </w:pPr>
      <w:bookmarkStart w:id="134" w:name="_Toc7535"/>
      <w:bookmarkStart w:id="135" w:name="_Toc22479"/>
      <w:bookmarkStart w:id="136" w:name="_Toc16290"/>
      <w:bookmarkStart w:id="137" w:name="_Toc26913"/>
      <w:r>
        <w:rPr>
          <w:rFonts w:hint="eastAsia"/>
        </w:rPr>
        <w:t>8.主要问题和改进措施</w:t>
      </w:r>
      <w:bookmarkEnd w:id="134"/>
      <w:bookmarkEnd w:id="135"/>
      <w:bookmarkEnd w:id="136"/>
      <w:bookmarkEnd w:id="137"/>
    </w:p>
    <w:p>
      <w:pPr>
        <w:pStyle w:val="4"/>
        <w:spacing w:before="156" w:after="156" w:line="500" w:lineRule="exact"/>
        <w:ind w:firstLine="723"/>
        <w:rPr>
          <w:rFonts w:hint="default"/>
        </w:rPr>
      </w:pPr>
      <w:bookmarkStart w:id="138" w:name="_Toc19656"/>
      <w:bookmarkStart w:id="139" w:name="_Toc14063"/>
      <w:bookmarkStart w:id="140" w:name="_Toc18494"/>
      <w:bookmarkStart w:id="141" w:name="_Toc12274"/>
      <w:r>
        <w:t>8.1主要问题</w:t>
      </w:r>
      <w:bookmarkEnd w:id="138"/>
      <w:bookmarkEnd w:id="139"/>
      <w:bookmarkEnd w:id="140"/>
      <w:bookmarkEnd w:id="141"/>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在长期的办学过程中，学校也存在着一些问题，主要表现在：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一是学校处于新校园建设时期，发展经费严重不足；</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二是中专挂牌未完成，中高职衔接受影响；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三是每年</w:t>
      </w:r>
      <w:r>
        <w:rPr>
          <w:rFonts w:ascii="仿宋_GB2312" w:hAnsi="仿宋_GB2312" w:eastAsia="仿宋_GB2312" w:cs="仿宋_GB2312"/>
          <w:sz w:val="32"/>
          <w:szCs w:val="32"/>
        </w:rPr>
        <w:t>面临</w:t>
      </w:r>
      <w:r>
        <w:rPr>
          <w:rFonts w:hint="eastAsia" w:ascii="仿宋_GB2312" w:hAnsi="仿宋_GB2312" w:eastAsia="仿宋_GB2312" w:cs="仿宋_GB2312"/>
          <w:sz w:val="32"/>
          <w:szCs w:val="32"/>
        </w:rPr>
        <w:t>招生压力大，投入的宣传</w:t>
      </w:r>
      <w:r>
        <w:rPr>
          <w:rFonts w:ascii="仿宋_GB2312" w:hAnsi="仿宋_GB2312" w:eastAsia="仿宋_GB2312" w:cs="仿宋_GB2312"/>
          <w:sz w:val="32"/>
          <w:szCs w:val="32"/>
        </w:rPr>
        <w:t>费用多，建议全省能建立统一的中职招生平台，</w:t>
      </w:r>
      <w:r>
        <w:rPr>
          <w:rFonts w:hint="eastAsia" w:ascii="仿宋_GB2312" w:hAnsi="仿宋_GB2312" w:eastAsia="仿宋_GB2312" w:cs="仿宋_GB2312"/>
          <w:sz w:val="32"/>
          <w:szCs w:val="32"/>
        </w:rPr>
        <w:t>每</w:t>
      </w:r>
      <w:r>
        <w:rPr>
          <w:rFonts w:ascii="仿宋_GB2312" w:hAnsi="仿宋_GB2312" w:eastAsia="仿宋_GB2312" w:cs="仿宋_GB2312"/>
          <w:sz w:val="32"/>
          <w:szCs w:val="32"/>
        </w:rPr>
        <w:t>所</w:t>
      </w:r>
      <w:r>
        <w:rPr>
          <w:rFonts w:hint="eastAsia" w:ascii="仿宋_GB2312" w:hAnsi="仿宋_GB2312" w:eastAsia="仿宋_GB2312" w:cs="仿宋_GB2312"/>
          <w:sz w:val="32"/>
          <w:szCs w:val="32"/>
        </w:rPr>
        <w:t>中专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技校</w:t>
      </w:r>
      <w:r>
        <w:rPr>
          <w:rFonts w:ascii="仿宋_GB2312" w:hAnsi="仿宋_GB2312" w:eastAsia="仿宋_GB2312" w:cs="仿宋_GB2312"/>
          <w:sz w:val="32"/>
          <w:szCs w:val="32"/>
        </w:rPr>
        <w:t>都通过平台按分数录取</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w:t>
      </w:r>
      <w:r>
        <w:rPr>
          <w:rFonts w:ascii="仿宋_GB2312" w:hAnsi="仿宋_GB2312" w:eastAsia="仿宋_GB2312" w:cs="仿宋_GB2312"/>
          <w:sz w:val="32"/>
          <w:szCs w:val="32"/>
        </w:rPr>
        <w:t>学校编制数</w:t>
      </w:r>
      <w:r>
        <w:rPr>
          <w:rFonts w:hint="eastAsia" w:ascii="仿宋_GB2312" w:hAnsi="仿宋_GB2312" w:eastAsia="仿宋_GB2312" w:cs="仿宋_GB2312"/>
          <w:sz w:val="32"/>
          <w:szCs w:val="32"/>
        </w:rPr>
        <w:t>30年</w:t>
      </w:r>
      <w:r>
        <w:rPr>
          <w:rFonts w:ascii="仿宋_GB2312" w:hAnsi="仿宋_GB2312" w:eastAsia="仿宋_GB2312" w:cs="仿宋_GB2312"/>
          <w:sz w:val="32"/>
          <w:szCs w:val="32"/>
        </w:rPr>
        <w:t>未</w:t>
      </w:r>
      <w:r>
        <w:rPr>
          <w:rFonts w:hint="eastAsia" w:ascii="仿宋_GB2312" w:hAnsi="仿宋_GB2312" w:eastAsia="仿宋_GB2312" w:cs="仿宋_GB2312"/>
          <w:sz w:val="32"/>
          <w:szCs w:val="32"/>
        </w:rPr>
        <w:t>增，招生</w:t>
      </w:r>
      <w:r>
        <w:rPr>
          <w:rFonts w:ascii="仿宋_GB2312" w:hAnsi="仿宋_GB2312" w:eastAsia="仿宋_GB2312" w:cs="仿宋_GB2312"/>
          <w:sz w:val="32"/>
          <w:szCs w:val="32"/>
        </w:rPr>
        <w:t>规模扩大后，</w:t>
      </w:r>
      <w:r>
        <w:rPr>
          <w:rFonts w:hint="eastAsia" w:ascii="仿宋_GB2312" w:hAnsi="仿宋_GB2312" w:eastAsia="仿宋_GB2312" w:cs="仿宋_GB2312"/>
          <w:sz w:val="32"/>
          <w:szCs w:val="32"/>
        </w:rPr>
        <w:t>师资紧缺，且外聘职工90多人的工资无拨款而靠学校供养。</w:t>
      </w:r>
    </w:p>
    <w:p>
      <w:pPr>
        <w:pStyle w:val="4"/>
        <w:spacing w:before="156" w:after="156" w:line="500" w:lineRule="exact"/>
        <w:ind w:firstLine="723"/>
        <w:rPr>
          <w:rFonts w:hint="default"/>
        </w:rPr>
      </w:pPr>
      <w:bookmarkStart w:id="142" w:name="_Toc13398"/>
      <w:bookmarkStart w:id="143" w:name="_Toc10497"/>
      <w:bookmarkStart w:id="144" w:name="_Toc28707"/>
      <w:bookmarkStart w:id="145" w:name="_Toc14435"/>
      <w:r>
        <w:t>8.2改进措施</w:t>
      </w:r>
      <w:bookmarkEnd w:id="142"/>
      <w:bookmarkEnd w:id="143"/>
      <w:bookmarkEnd w:id="144"/>
      <w:bookmarkEnd w:id="145"/>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学校有直面问题的勇气和刀刃向内的决心，及时调整工作策略，制定了一系列改进措施，不断攻克前进道路上的难关。</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一是克服一切困难，开源节流，并积极</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职业技能培训，为学校可持续发展奠定基础；</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二是努力推进中专挂牌事宜，全面提升教育教学质量，进一步改善学校</w:t>
      </w:r>
      <w:r>
        <w:rPr>
          <w:rFonts w:ascii="仿宋_GB2312" w:hAnsi="仿宋_GB2312" w:eastAsia="仿宋_GB2312" w:cs="仿宋_GB2312"/>
          <w:sz w:val="32"/>
          <w:szCs w:val="32"/>
        </w:rPr>
        <w:t>办学条件</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三是完成标准塑胶跑道运动场建设，推进校园信息化建设，加强校园文化建设，营造良好的育人环境，提高学校的招生吸引力；</w:t>
      </w:r>
    </w:p>
    <w:p>
      <w:pPr>
        <w:spacing w:line="500" w:lineRule="exact"/>
        <w:ind w:firstLine="640" w:firstLineChars="200"/>
        <w:rPr>
          <w:sz w:val="32"/>
          <w:szCs w:val="32"/>
        </w:rPr>
      </w:pPr>
      <w:r>
        <w:rPr>
          <w:rFonts w:hint="eastAsia" w:ascii="仿宋_GB2312" w:hAnsi="仿宋_GB2312" w:eastAsia="仿宋_GB2312" w:cs="仿宋_GB2312"/>
          <w:sz w:val="32"/>
          <w:szCs w:val="32"/>
        </w:rPr>
        <w:t>四是加大人才培养和引进力度，激励教师参加学术研究和专业竞赛，建设优势特色专业，提高教育教学质量。</w:t>
      </w:r>
    </w:p>
    <w:p>
      <w:pPr>
        <w:spacing w:line="500" w:lineRule="exact"/>
        <w:rPr>
          <w:sz w:val="32"/>
          <w:szCs w:val="32"/>
        </w:rPr>
      </w:pP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1A356C" w:sz="8" w:space="1"/>
      </w:pBdr>
    </w:pPr>
    <w:r>
      <w:rPr>
        <w:rFonts w:hint="eastAsia"/>
      </w:rPr>
      <w:drawing>
        <wp:inline distT="0" distB="0" distL="114300" distR="114300">
          <wp:extent cx="363855" cy="348615"/>
          <wp:effectExtent l="0" t="0" r="17145" b="13335"/>
          <wp:docPr id="8" name="图片 8" descr="校徽标志(无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徽标志(无框)"/>
                  <pic:cNvPicPr>
                    <a:picLocks noChangeAspect="1"/>
                  </pic:cNvPicPr>
                </pic:nvPicPr>
                <pic:blipFill>
                  <a:blip r:embed="rId1"/>
                  <a:stretch>
                    <a:fillRect/>
                  </a:stretch>
                </pic:blipFill>
                <pic:spPr>
                  <a:xfrm>
                    <a:off x="0" y="0"/>
                    <a:ext cx="363855" cy="348615"/>
                  </a:xfrm>
                  <a:prstGeom prst="rect">
                    <a:avLst/>
                  </a:prstGeom>
                </pic:spPr>
              </pic:pic>
            </a:graphicData>
          </a:graphic>
        </wp:inline>
      </w:drawing>
    </w:r>
    <w:r>
      <w:rPr>
        <w:rFonts w:hint="eastAsia"/>
      </w:rPr>
      <w:drawing>
        <wp:inline distT="0" distB="0" distL="114300" distR="114300">
          <wp:extent cx="1889760" cy="377825"/>
          <wp:effectExtent l="0" t="0" r="15240" b="3175"/>
          <wp:docPr id="9" name="图片 9" descr="校名JPG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校名JPG版"/>
                  <pic:cNvPicPr>
                    <a:picLocks noChangeAspect="1"/>
                  </pic:cNvPicPr>
                </pic:nvPicPr>
                <pic:blipFill>
                  <a:blip r:embed="rId2"/>
                  <a:stretch>
                    <a:fillRect/>
                  </a:stretch>
                </pic:blipFill>
                <pic:spPr>
                  <a:xfrm>
                    <a:off x="0" y="0"/>
                    <a:ext cx="1889760" cy="3778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BE"/>
    <w:rsid w:val="00003BC0"/>
    <w:rsid w:val="00074CEA"/>
    <w:rsid w:val="0009199B"/>
    <w:rsid w:val="000A66C6"/>
    <w:rsid w:val="000E2E38"/>
    <w:rsid w:val="00122E54"/>
    <w:rsid w:val="00134D00"/>
    <w:rsid w:val="00140A41"/>
    <w:rsid w:val="00145E7B"/>
    <w:rsid w:val="001478B0"/>
    <w:rsid w:val="00177B22"/>
    <w:rsid w:val="001A2E99"/>
    <w:rsid w:val="001D0728"/>
    <w:rsid w:val="001F6135"/>
    <w:rsid w:val="00205CB5"/>
    <w:rsid w:val="00223086"/>
    <w:rsid w:val="002231A9"/>
    <w:rsid w:val="00223272"/>
    <w:rsid w:val="002379DA"/>
    <w:rsid w:val="002404DF"/>
    <w:rsid w:val="002A519E"/>
    <w:rsid w:val="002E4394"/>
    <w:rsid w:val="002E4619"/>
    <w:rsid w:val="002F6DBB"/>
    <w:rsid w:val="002F768F"/>
    <w:rsid w:val="00315193"/>
    <w:rsid w:val="00326318"/>
    <w:rsid w:val="00371034"/>
    <w:rsid w:val="00395174"/>
    <w:rsid w:val="00414486"/>
    <w:rsid w:val="00461CE6"/>
    <w:rsid w:val="0047313C"/>
    <w:rsid w:val="004D0F39"/>
    <w:rsid w:val="004D1563"/>
    <w:rsid w:val="004D37BF"/>
    <w:rsid w:val="004F1751"/>
    <w:rsid w:val="00541AD2"/>
    <w:rsid w:val="005A2CD6"/>
    <w:rsid w:val="005D2C57"/>
    <w:rsid w:val="005D3526"/>
    <w:rsid w:val="00611715"/>
    <w:rsid w:val="00631AA3"/>
    <w:rsid w:val="006E7CF3"/>
    <w:rsid w:val="006F1E6B"/>
    <w:rsid w:val="006F263D"/>
    <w:rsid w:val="00721495"/>
    <w:rsid w:val="00735578"/>
    <w:rsid w:val="00741ABB"/>
    <w:rsid w:val="0078520F"/>
    <w:rsid w:val="007C2413"/>
    <w:rsid w:val="007D1184"/>
    <w:rsid w:val="007D16C3"/>
    <w:rsid w:val="007D3F93"/>
    <w:rsid w:val="007E3BFB"/>
    <w:rsid w:val="007F6A93"/>
    <w:rsid w:val="00865446"/>
    <w:rsid w:val="00875B86"/>
    <w:rsid w:val="008800BD"/>
    <w:rsid w:val="0089624A"/>
    <w:rsid w:val="008A7EF6"/>
    <w:rsid w:val="008C7C23"/>
    <w:rsid w:val="008D0E55"/>
    <w:rsid w:val="008D31C5"/>
    <w:rsid w:val="00931ABB"/>
    <w:rsid w:val="00974405"/>
    <w:rsid w:val="0097475C"/>
    <w:rsid w:val="00990CA8"/>
    <w:rsid w:val="009E25DA"/>
    <w:rsid w:val="00A07C68"/>
    <w:rsid w:val="00AB756F"/>
    <w:rsid w:val="00AD68AD"/>
    <w:rsid w:val="00AE7C8C"/>
    <w:rsid w:val="00AF11B5"/>
    <w:rsid w:val="00AF1A1F"/>
    <w:rsid w:val="00B24F96"/>
    <w:rsid w:val="00B941C4"/>
    <w:rsid w:val="00BB4B72"/>
    <w:rsid w:val="00BB6D04"/>
    <w:rsid w:val="00BC2B8B"/>
    <w:rsid w:val="00BD5C63"/>
    <w:rsid w:val="00BE60C7"/>
    <w:rsid w:val="00BF1E73"/>
    <w:rsid w:val="00C00D32"/>
    <w:rsid w:val="00C10EE0"/>
    <w:rsid w:val="00C11280"/>
    <w:rsid w:val="00C23F17"/>
    <w:rsid w:val="00C37615"/>
    <w:rsid w:val="00CA0AC3"/>
    <w:rsid w:val="00CD629B"/>
    <w:rsid w:val="00CE53B4"/>
    <w:rsid w:val="00D27C01"/>
    <w:rsid w:val="00D27E24"/>
    <w:rsid w:val="00D3503F"/>
    <w:rsid w:val="00D3781F"/>
    <w:rsid w:val="00D46115"/>
    <w:rsid w:val="00D56E78"/>
    <w:rsid w:val="00D656A4"/>
    <w:rsid w:val="00D74ACD"/>
    <w:rsid w:val="00D80EC1"/>
    <w:rsid w:val="00D82DCD"/>
    <w:rsid w:val="00D85511"/>
    <w:rsid w:val="00D87463"/>
    <w:rsid w:val="00D949E3"/>
    <w:rsid w:val="00D94DB2"/>
    <w:rsid w:val="00DD4462"/>
    <w:rsid w:val="00DF64E7"/>
    <w:rsid w:val="00E02B7F"/>
    <w:rsid w:val="00E16D65"/>
    <w:rsid w:val="00E30566"/>
    <w:rsid w:val="00E35832"/>
    <w:rsid w:val="00E400F6"/>
    <w:rsid w:val="00E76EBE"/>
    <w:rsid w:val="00EA1F89"/>
    <w:rsid w:val="00EB0E94"/>
    <w:rsid w:val="00EB176E"/>
    <w:rsid w:val="00EB5A65"/>
    <w:rsid w:val="00EC0A7A"/>
    <w:rsid w:val="00EE1B9A"/>
    <w:rsid w:val="00F06852"/>
    <w:rsid w:val="00F21250"/>
    <w:rsid w:val="00F2498B"/>
    <w:rsid w:val="00F416F9"/>
    <w:rsid w:val="00F56884"/>
    <w:rsid w:val="00F6453D"/>
    <w:rsid w:val="00F7198F"/>
    <w:rsid w:val="00FB549D"/>
    <w:rsid w:val="00FD4EE0"/>
    <w:rsid w:val="00FE6616"/>
    <w:rsid w:val="00FF29D4"/>
    <w:rsid w:val="00FF6D71"/>
    <w:rsid w:val="012460A9"/>
    <w:rsid w:val="016D746D"/>
    <w:rsid w:val="024145F2"/>
    <w:rsid w:val="02AC34A9"/>
    <w:rsid w:val="02DB79EE"/>
    <w:rsid w:val="043F63BE"/>
    <w:rsid w:val="047E4360"/>
    <w:rsid w:val="048B078C"/>
    <w:rsid w:val="050A35B9"/>
    <w:rsid w:val="05AB0529"/>
    <w:rsid w:val="067F2D28"/>
    <w:rsid w:val="06881D72"/>
    <w:rsid w:val="06905496"/>
    <w:rsid w:val="06FE12D3"/>
    <w:rsid w:val="0713304E"/>
    <w:rsid w:val="07613080"/>
    <w:rsid w:val="07C52C2B"/>
    <w:rsid w:val="082C32AC"/>
    <w:rsid w:val="08694EF5"/>
    <w:rsid w:val="08BF66E0"/>
    <w:rsid w:val="09CB089F"/>
    <w:rsid w:val="0A157C79"/>
    <w:rsid w:val="0A564870"/>
    <w:rsid w:val="0A5858A1"/>
    <w:rsid w:val="0B7F5353"/>
    <w:rsid w:val="0BFA13EB"/>
    <w:rsid w:val="0C0B1D9E"/>
    <w:rsid w:val="0C665F05"/>
    <w:rsid w:val="0C9F26C9"/>
    <w:rsid w:val="0CB55B45"/>
    <w:rsid w:val="0CD251F3"/>
    <w:rsid w:val="0CE64095"/>
    <w:rsid w:val="0DAC3AF9"/>
    <w:rsid w:val="0DCC6B56"/>
    <w:rsid w:val="0EEB5994"/>
    <w:rsid w:val="0F074201"/>
    <w:rsid w:val="0F2844E2"/>
    <w:rsid w:val="0F521C60"/>
    <w:rsid w:val="0F987019"/>
    <w:rsid w:val="103D2C62"/>
    <w:rsid w:val="1062153F"/>
    <w:rsid w:val="10933151"/>
    <w:rsid w:val="10AD14D7"/>
    <w:rsid w:val="117331E3"/>
    <w:rsid w:val="124062F9"/>
    <w:rsid w:val="12F5104D"/>
    <w:rsid w:val="139D5C1B"/>
    <w:rsid w:val="13A0049F"/>
    <w:rsid w:val="13B62E3D"/>
    <w:rsid w:val="13E66363"/>
    <w:rsid w:val="14FF10D6"/>
    <w:rsid w:val="15344655"/>
    <w:rsid w:val="16882761"/>
    <w:rsid w:val="16D158D2"/>
    <w:rsid w:val="177947C1"/>
    <w:rsid w:val="181A071F"/>
    <w:rsid w:val="190B61D5"/>
    <w:rsid w:val="1A144C31"/>
    <w:rsid w:val="1A5C5C79"/>
    <w:rsid w:val="1ABA177A"/>
    <w:rsid w:val="1B1519F4"/>
    <w:rsid w:val="1C2B4BE2"/>
    <w:rsid w:val="1C2E70CF"/>
    <w:rsid w:val="1CFC1BF2"/>
    <w:rsid w:val="1D224D0E"/>
    <w:rsid w:val="1D293C62"/>
    <w:rsid w:val="1DEE0AC1"/>
    <w:rsid w:val="1F082A18"/>
    <w:rsid w:val="1FAD15F5"/>
    <w:rsid w:val="1FCB156D"/>
    <w:rsid w:val="20726C51"/>
    <w:rsid w:val="20BA64A0"/>
    <w:rsid w:val="20C34BE2"/>
    <w:rsid w:val="22A9173E"/>
    <w:rsid w:val="22F92B94"/>
    <w:rsid w:val="2313443E"/>
    <w:rsid w:val="23972205"/>
    <w:rsid w:val="242C366D"/>
    <w:rsid w:val="247C478F"/>
    <w:rsid w:val="24B12DC2"/>
    <w:rsid w:val="25771FAA"/>
    <w:rsid w:val="257B0F6E"/>
    <w:rsid w:val="25B0585F"/>
    <w:rsid w:val="261B7690"/>
    <w:rsid w:val="272B7A22"/>
    <w:rsid w:val="2764300A"/>
    <w:rsid w:val="27773840"/>
    <w:rsid w:val="279B5358"/>
    <w:rsid w:val="286715E3"/>
    <w:rsid w:val="28AE0AC0"/>
    <w:rsid w:val="29460478"/>
    <w:rsid w:val="2A9E424E"/>
    <w:rsid w:val="2B2620B5"/>
    <w:rsid w:val="2B6F5399"/>
    <w:rsid w:val="2BF95131"/>
    <w:rsid w:val="2C55118B"/>
    <w:rsid w:val="2CEE1F44"/>
    <w:rsid w:val="2D1A69EF"/>
    <w:rsid w:val="2E90474F"/>
    <w:rsid w:val="2EAA1758"/>
    <w:rsid w:val="2F1E71F4"/>
    <w:rsid w:val="2F6459AC"/>
    <w:rsid w:val="2FB81AEB"/>
    <w:rsid w:val="30507AAB"/>
    <w:rsid w:val="30580C34"/>
    <w:rsid w:val="307178AF"/>
    <w:rsid w:val="308626F7"/>
    <w:rsid w:val="309D6968"/>
    <w:rsid w:val="31C50291"/>
    <w:rsid w:val="31E96799"/>
    <w:rsid w:val="320471EA"/>
    <w:rsid w:val="32755790"/>
    <w:rsid w:val="331A6C1D"/>
    <w:rsid w:val="33251944"/>
    <w:rsid w:val="34D10C32"/>
    <w:rsid w:val="364B4B06"/>
    <w:rsid w:val="366E7125"/>
    <w:rsid w:val="37032EAF"/>
    <w:rsid w:val="37072629"/>
    <w:rsid w:val="37A13ECF"/>
    <w:rsid w:val="38012CF4"/>
    <w:rsid w:val="382E2313"/>
    <w:rsid w:val="38743F0D"/>
    <w:rsid w:val="39B67B93"/>
    <w:rsid w:val="3A366323"/>
    <w:rsid w:val="3A585D18"/>
    <w:rsid w:val="3A9F4844"/>
    <w:rsid w:val="3AEE71AD"/>
    <w:rsid w:val="3B865E99"/>
    <w:rsid w:val="3B8C387E"/>
    <w:rsid w:val="3CE00962"/>
    <w:rsid w:val="3DD40C50"/>
    <w:rsid w:val="3E15450A"/>
    <w:rsid w:val="3E1A4BEC"/>
    <w:rsid w:val="3EB61B65"/>
    <w:rsid w:val="3EFD120F"/>
    <w:rsid w:val="40135FBA"/>
    <w:rsid w:val="403A4391"/>
    <w:rsid w:val="40A0337A"/>
    <w:rsid w:val="40A10266"/>
    <w:rsid w:val="4164367A"/>
    <w:rsid w:val="41D659CA"/>
    <w:rsid w:val="42047BEE"/>
    <w:rsid w:val="4282416D"/>
    <w:rsid w:val="42A07354"/>
    <w:rsid w:val="42D8068C"/>
    <w:rsid w:val="43ED3EF8"/>
    <w:rsid w:val="444D3EF5"/>
    <w:rsid w:val="44696494"/>
    <w:rsid w:val="446D4398"/>
    <w:rsid w:val="44EB589F"/>
    <w:rsid w:val="451C5F46"/>
    <w:rsid w:val="455A3AFE"/>
    <w:rsid w:val="45FF787A"/>
    <w:rsid w:val="47C54AEF"/>
    <w:rsid w:val="47CE201F"/>
    <w:rsid w:val="47DB48AA"/>
    <w:rsid w:val="48500E71"/>
    <w:rsid w:val="488B72CC"/>
    <w:rsid w:val="489A1A6E"/>
    <w:rsid w:val="49581AC0"/>
    <w:rsid w:val="4AE31F5C"/>
    <w:rsid w:val="4B0E780D"/>
    <w:rsid w:val="4C6B15DA"/>
    <w:rsid w:val="4C6E3FCE"/>
    <w:rsid w:val="4CEF429E"/>
    <w:rsid w:val="4CFE5222"/>
    <w:rsid w:val="4D0B622F"/>
    <w:rsid w:val="4D52782B"/>
    <w:rsid w:val="4E435BA8"/>
    <w:rsid w:val="4E68648C"/>
    <w:rsid w:val="4F7F46B3"/>
    <w:rsid w:val="4FCD5A30"/>
    <w:rsid w:val="4FF425EE"/>
    <w:rsid w:val="50961442"/>
    <w:rsid w:val="50C06EDA"/>
    <w:rsid w:val="52C14149"/>
    <w:rsid w:val="52C17022"/>
    <w:rsid w:val="536C7B84"/>
    <w:rsid w:val="53D371F4"/>
    <w:rsid w:val="53F4031C"/>
    <w:rsid w:val="54CD0A0A"/>
    <w:rsid w:val="5562298E"/>
    <w:rsid w:val="55920922"/>
    <w:rsid w:val="561A5689"/>
    <w:rsid w:val="56651D7E"/>
    <w:rsid w:val="56E97039"/>
    <w:rsid w:val="57262F0E"/>
    <w:rsid w:val="58163689"/>
    <w:rsid w:val="58EE6B4B"/>
    <w:rsid w:val="590E53C6"/>
    <w:rsid w:val="59113F61"/>
    <w:rsid w:val="5AC70A89"/>
    <w:rsid w:val="5C591A03"/>
    <w:rsid w:val="5D2A2708"/>
    <w:rsid w:val="5D70763B"/>
    <w:rsid w:val="5DEB7069"/>
    <w:rsid w:val="5E3A4033"/>
    <w:rsid w:val="5E55746C"/>
    <w:rsid w:val="5E803991"/>
    <w:rsid w:val="5E9A1C3F"/>
    <w:rsid w:val="5F1E6741"/>
    <w:rsid w:val="5F493FD3"/>
    <w:rsid w:val="5F653E40"/>
    <w:rsid w:val="5F6A7E5B"/>
    <w:rsid w:val="5FF379EF"/>
    <w:rsid w:val="6043166C"/>
    <w:rsid w:val="6049701E"/>
    <w:rsid w:val="60C2003D"/>
    <w:rsid w:val="616F22F8"/>
    <w:rsid w:val="61AA45EE"/>
    <w:rsid w:val="621549CD"/>
    <w:rsid w:val="62457656"/>
    <w:rsid w:val="62AE3034"/>
    <w:rsid w:val="62C955B5"/>
    <w:rsid w:val="635376CA"/>
    <w:rsid w:val="639F7A86"/>
    <w:rsid w:val="64573F70"/>
    <w:rsid w:val="648011AC"/>
    <w:rsid w:val="65EF5DE5"/>
    <w:rsid w:val="66205860"/>
    <w:rsid w:val="66A90C63"/>
    <w:rsid w:val="67147E53"/>
    <w:rsid w:val="6753148E"/>
    <w:rsid w:val="67C81FC6"/>
    <w:rsid w:val="6878444E"/>
    <w:rsid w:val="688E7A24"/>
    <w:rsid w:val="699843FD"/>
    <w:rsid w:val="6A316343"/>
    <w:rsid w:val="6AD61B35"/>
    <w:rsid w:val="6AE64310"/>
    <w:rsid w:val="6B4E3667"/>
    <w:rsid w:val="6B660027"/>
    <w:rsid w:val="6B83293F"/>
    <w:rsid w:val="6B872F41"/>
    <w:rsid w:val="6BA915C0"/>
    <w:rsid w:val="6C5C02F9"/>
    <w:rsid w:val="6C9E11F6"/>
    <w:rsid w:val="6CBB7E71"/>
    <w:rsid w:val="6D093A6A"/>
    <w:rsid w:val="6E354B52"/>
    <w:rsid w:val="6F6D611B"/>
    <w:rsid w:val="6F704E84"/>
    <w:rsid w:val="6FBA5C3F"/>
    <w:rsid w:val="6FCE6818"/>
    <w:rsid w:val="703503E5"/>
    <w:rsid w:val="70B30DC4"/>
    <w:rsid w:val="71B97A33"/>
    <w:rsid w:val="726C3E68"/>
    <w:rsid w:val="72966948"/>
    <w:rsid w:val="72C67F85"/>
    <w:rsid w:val="72C81B82"/>
    <w:rsid w:val="732459CE"/>
    <w:rsid w:val="7382344B"/>
    <w:rsid w:val="7394015C"/>
    <w:rsid w:val="74120523"/>
    <w:rsid w:val="75451F91"/>
    <w:rsid w:val="756C1850"/>
    <w:rsid w:val="75D24162"/>
    <w:rsid w:val="76124A3B"/>
    <w:rsid w:val="761F1BFC"/>
    <w:rsid w:val="76295822"/>
    <w:rsid w:val="7640096B"/>
    <w:rsid w:val="76824C92"/>
    <w:rsid w:val="76A63EF5"/>
    <w:rsid w:val="76BD22FF"/>
    <w:rsid w:val="76C653D4"/>
    <w:rsid w:val="78152EA3"/>
    <w:rsid w:val="786D696B"/>
    <w:rsid w:val="78D43742"/>
    <w:rsid w:val="7A020969"/>
    <w:rsid w:val="7A177F90"/>
    <w:rsid w:val="7A322BE8"/>
    <w:rsid w:val="7A67263E"/>
    <w:rsid w:val="7A6D6B31"/>
    <w:rsid w:val="7AA5021F"/>
    <w:rsid w:val="7AE535B9"/>
    <w:rsid w:val="7AE744D1"/>
    <w:rsid w:val="7AF950A0"/>
    <w:rsid w:val="7BE71B65"/>
    <w:rsid w:val="7C535DAB"/>
    <w:rsid w:val="7E9357AD"/>
    <w:rsid w:val="7F4F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100" w:afterLines="100"/>
      <w:ind w:firstLine="883" w:firstLineChars="200"/>
      <w:outlineLvl w:val="0"/>
    </w:pPr>
    <w:rPr>
      <w:rFonts w:ascii="黑体" w:hAnsi="黑体" w:eastAsia="黑体"/>
      <w:b/>
      <w:bCs/>
      <w:kern w:val="44"/>
      <w:sz w:val="44"/>
      <w:szCs w:val="32"/>
    </w:rPr>
  </w:style>
  <w:style w:type="paragraph" w:styleId="4">
    <w:name w:val="heading 2"/>
    <w:basedOn w:val="1"/>
    <w:next w:val="1"/>
    <w:unhideWhenUsed/>
    <w:qFormat/>
    <w:uiPriority w:val="0"/>
    <w:pPr>
      <w:spacing w:beforeLines="50" w:afterLines="50"/>
      <w:ind w:firstLine="964" w:firstLineChars="200"/>
      <w:jc w:val="left"/>
      <w:outlineLvl w:val="1"/>
    </w:pPr>
    <w:rPr>
      <w:rFonts w:hint="eastAsia" w:ascii="黑体" w:hAnsi="黑体" w:eastAsia="黑体" w:cs="Times New Roman"/>
      <w:b/>
      <w:bCs/>
      <w:kern w:val="0"/>
      <w:sz w:val="36"/>
      <w:szCs w:val="36"/>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102"/>
      <w:ind w:left="112"/>
    </w:pPr>
    <w:rPr>
      <w:sz w:val="28"/>
      <w:szCs w:val="28"/>
    </w:rPr>
  </w:style>
  <w:style w:type="paragraph" w:styleId="5">
    <w:name w:val="Date"/>
    <w:basedOn w:val="1"/>
    <w:next w:val="1"/>
    <w:link w:val="22"/>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semiHidden/>
    <w:unhideWhenUsed/>
    <w:uiPriority w:val="0"/>
  </w:style>
  <w:style w:type="paragraph" w:styleId="10">
    <w:name w:val="toc 2"/>
    <w:basedOn w:val="1"/>
    <w:next w:val="1"/>
    <w:semiHidden/>
    <w:unhideWhenUsed/>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Char"/>
    <w:basedOn w:val="1"/>
    <w:uiPriority w:val="0"/>
    <w:pPr>
      <w:widowControl/>
      <w:spacing w:after="160" w:line="240" w:lineRule="exact"/>
      <w:jc w:val="left"/>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qFormat/>
    <w:uiPriority w:val="0"/>
    <w:rPr>
      <w:rFonts w:asciiTheme="minorHAnsi" w:hAnsiTheme="minorHAnsi" w:eastAsiaTheme="minorEastAsia" w:cstheme="minorBidi"/>
      <w:kern w:val="2"/>
      <w:sz w:val="18"/>
      <w:szCs w:val="18"/>
    </w:rPr>
  </w:style>
  <w:style w:type="paragraph" w:styleId="21">
    <w:name w:val="List Paragraph"/>
    <w:basedOn w:val="1"/>
    <w:qFormat/>
    <w:uiPriority w:val="34"/>
    <w:pPr>
      <w:ind w:firstLine="420" w:firstLineChars="200"/>
    </w:pPr>
  </w:style>
  <w:style w:type="character" w:customStyle="1" w:styleId="22">
    <w:name w:val="日期 Char"/>
    <w:basedOn w:val="14"/>
    <w:link w:val="5"/>
    <w:qFormat/>
    <w:uiPriority w:val="0"/>
    <w:rPr>
      <w:kern w:val="2"/>
      <w:sz w:val="21"/>
      <w:szCs w:val="24"/>
    </w:rPr>
  </w:style>
  <w:style w:type="character" w:customStyle="1" w:styleId="23">
    <w:name w:val="NormalCharacter"/>
    <w:semiHidden/>
    <w:qFormat/>
    <w:uiPriority w:val="0"/>
  </w:style>
  <w:style w:type="paragraph" w:customStyle="1" w:styleId="24">
    <w:name w:val="HtmlNormal"/>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B5F44-F8DA-440E-B083-9EBFB8FCF252}">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2817</Words>
  <Characters>16060</Characters>
  <Lines>133</Lines>
  <Paragraphs>37</Paragraphs>
  <TotalTime>79</TotalTime>
  <ScaleCrop>false</ScaleCrop>
  <LinksUpToDate>false</LinksUpToDate>
  <CharactersWithSpaces>18840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2020-02-10T11:58:00Z</dcterms:created>
  <dc:creator>Administrator</dc:creator>
  <cp:lastModifiedBy>q@x</cp:lastModifiedBy>
  <cp:lastPrinted>2020-04-08T06:45:00Z</cp:lastPrinted>
  <dcterms:modified xsi:type="dcterms:W3CDTF">2020-12-31T02:21:01Z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